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4"/>
          <w:highlight w:val="none"/>
          <w14:textFill>
            <w14:solidFill>
              <w14:schemeClr w14:val="tx1"/>
            </w14:solidFill>
          </w14:textFill>
        </w:rPr>
      </w:pP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r>
        <w:rPr>
          <w:rFonts w:hint="eastAsia"/>
          <w:b/>
          <w:color w:val="000000"/>
          <w:sz w:val="44"/>
          <w:szCs w:val="44"/>
          <w:lang w:val="en-US" w:eastAsia="zh-CN"/>
        </w:rPr>
        <w:t>川投泸州天然气发电项目</w:t>
      </w:r>
      <w:r>
        <w:rPr>
          <w:rFonts w:hint="eastAsia" w:ascii="宋体" w:hAnsi="宋体" w:cs="宋体"/>
          <w:b/>
          <w:bCs/>
          <w:color w:val="000000" w:themeColor="text1"/>
          <w:sz w:val="44"/>
          <w:highlight w:val="none"/>
          <w:lang w:val="en-US" w:eastAsia="zh-CN"/>
          <w14:textFill>
            <w14:solidFill>
              <w14:schemeClr w14:val="tx1"/>
            </w14:solidFill>
          </w14:textFill>
        </w:rPr>
        <w:t>天然气管线工程危险和可操作性分析报告编制服务</w:t>
      </w:r>
      <w:r>
        <w:rPr>
          <w:rFonts w:hint="eastAsia" w:ascii="宋体" w:hAnsi="宋体" w:cs="宋体"/>
          <w:b/>
          <w:bCs/>
          <w:color w:val="000000" w:themeColor="text1"/>
          <w:sz w:val="44"/>
          <w:szCs w:val="22"/>
          <w:highlight w:val="none"/>
          <w14:textFill>
            <w14:solidFill>
              <w14:schemeClr w14:val="tx1"/>
            </w14:solidFill>
          </w14:textFill>
        </w:rPr>
        <w:t>比选文件</w:t>
      </w:r>
    </w:p>
    <w:p>
      <w:pPr>
        <w:spacing w:before="936" w:beforeLines="300" w:line="360" w:lineRule="auto"/>
        <w:jc w:val="both"/>
        <w:rPr>
          <w:rFonts w:ascii="宋体" w:hAnsi="宋体" w:cs="宋体"/>
          <w:b/>
          <w:bCs/>
          <w:color w:val="000000" w:themeColor="text1"/>
          <w:sz w:val="44"/>
          <w:szCs w:val="2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pPr>
    </w:p>
    <w:p>
      <w:pPr>
        <w:rPr>
          <w:rFonts w:ascii="宋体" w:hAnsi="宋体" w:cs="宋体"/>
          <w:color w:val="000000" w:themeColor="text1"/>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2025</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2</w:t>
      </w:r>
      <w:r>
        <w:rPr>
          <w:rFonts w:hint="eastAsia" w:ascii="宋体" w:hAnsi="宋体" w:cs="宋体"/>
          <w:b/>
          <w:color w:val="000000" w:themeColor="text1"/>
          <w:sz w:val="32"/>
          <w:szCs w:val="32"/>
          <w:highlight w:val="none"/>
          <w14:textFill>
            <w14:solidFill>
              <w14:schemeClr w14:val="tx1"/>
            </w14:solidFill>
          </w14:textFill>
        </w:rPr>
        <w:t>月</w:t>
      </w: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sectPr>
          <w:headerReference r:id="rId4" w:type="first"/>
          <w:headerReference r:id="rId3" w:type="default"/>
          <w:pgSz w:w="11906" w:h="16838"/>
          <w:pgMar w:top="1247" w:right="1304" w:bottom="1247" w:left="1440" w:header="720" w:footer="851" w:gutter="0"/>
          <w:pgNumType w:start="1"/>
          <w:cols w:space="720" w:num="1"/>
          <w:docGrid w:linePitch="326" w:charSpace="0"/>
        </w:sectPr>
      </w:pPr>
      <w:bookmarkStart w:id="0" w:name="_Toc230662926"/>
    </w:p>
    <w:p>
      <w:pPr>
        <w:pStyle w:val="3"/>
        <w:keepLines w:val="0"/>
        <w:tabs>
          <w:tab w:val="left" w:pos="720"/>
        </w:tabs>
        <w:spacing w:before="0" w:after="0" w:line="240" w:lineRule="auto"/>
        <w:jc w:val="center"/>
        <w:rPr>
          <w:rFonts w:hint="eastAsia" w:ascii="宋体" w:hAnsi="宋体"/>
          <w:color w:val="000000" w:themeColor="text1"/>
          <w:sz w:val="28"/>
          <w:szCs w:val="28"/>
          <w:highlight w:val="none"/>
          <w:lang w:val="en-US" w:eastAsia="zh-CN"/>
          <w14:textFill>
            <w14:solidFill>
              <w14:schemeClr w14:val="tx1"/>
            </w14:solidFill>
          </w14:textFill>
        </w:rPr>
      </w:pPr>
    </w:p>
    <w:p>
      <w:pPr>
        <w:pStyle w:val="3"/>
        <w:keepLines w:val="0"/>
        <w:tabs>
          <w:tab w:val="left" w:pos="720"/>
        </w:tabs>
        <w:spacing w:before="0" w:after="0" w:line="240" w:lineRule="auto"/>
        <w:jc w:val="center"/>
        <w:rPr>
          <w:rFonts w:hint="eastAsia" w:asciiTheme="minorEastAsia" w:hAnsiTheme="minorEastAsia" w:eastAsiaTheme="minorEastAsia" w:cstheme="minorEastAsia"/>
          <w:b/>
          <w:bCs/>
          <w:sz w:val="24"/>
          <w:szCs w:val="24"/>
          <w:highlight w:val="none"/>
          <w:lang w:eastAsia="zh-CN"/>
        </w:rPr>
      </w:pPr>
      <w:r>
        <w:rPr>
          <w:rFonts w:hint="eastAsia" w:ascii="宋体" w:hAnsi="宋体"/>
          <w:color w:val="000000" w:themeColor="text1"/>
          <w:sz w:val="28"/>
          <w:szCs w:val="28"/>
          <w:highlight w:val="none"/>
          <w:lang w:val="en-US" w:eastAsia="zh-CN"/>
          <w14:textFill>
            <w14:solidFill>
              <w14:schemeClr w14:val="tx1"/>
            </w14:solidFill>
          </w14:textFill>
        </w:rPr>
        <w:t>第一章  比选公告</w:t>
      </w:r>
    </w:p>
    <w:p>
      <w:pPr>
        <w:spacing w:line="360" w:lineRule="auto"/>
        <w:ind w:firstLine="0" w:firstLineChars="0"/>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一、</w:t>
      </w:r>
      <w:r>
        <w:rPr>
          <w:rFonts w:hint="eastAsia" w:asciiTheme="minorEastAsia" w:hAnsiTheme="minorEastAsia" w:eastAsiaTheme="minorEastAsia" w:cstheme="minorEastAsia"/>
          <w:b/>
          <w:bCs/>
          <w:sz w:val="24"/>
          <w:szCs w:val="24"/>
          <w:highlight w:val="none"/>
          <w:lang w:val="en-US" w:eastAsia="zh-CN"/>
        </w:rPr>
        <w:t>比选范围（</w:t>
      </w:r>
      <w:r>
        <w:rPr>
          <w:rFonts w:hint="eastAsia" w:asciiTheme="minorEastAsia" w:hAnsiTheme="minorEastAsia" w:eastAsiaTheme="minorEastAsia" w:cstheme="minorEastAsia"/>
          <w:b/>
          <w:bCs/>
          <w:sz w:val="24"/>
          <w:szCs w:val="24"/>
          <w:highlight w:val="none"/>
          <w:lang w:eastAsia="zh-CN"/>
        </w:rPr>
        <w:t>项目概况</w:t>
      </w:r>
      <w:r>
        <w:rPr>
          <w:rFonts w:hint="eastAsia" w:asciiTheme="minorEastAsia" w:hAnsiTheme="minorEastAsia" w:eastAsiaTheme="minorEastAsia" w:cstheme="minorEastAsia"/>
          <w:b/>
          <w:bCs/>
          <w:sz w:val="24"/>
          <w:szCs w:val="24"/>
          <w:highlight w:val="no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详见《天然气管线工程危险和可操作性分析报告编制服务技术规范书》。</w:t>
      </w:r>
    </w:p>
    <w:p>
      <w:pPr>
        <w:numPr>
          <w:ilvl w:val="0"/>
          <w:numId w:val="0"/>
        </w:numPr>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lang w:val="en-US" w:eastAsia="zh-CN"/>
        </w:rPr>
        <w:t>比选申请</w:t>
      </w:r>
      <w:r>
        <w:rPr>
          <w:rFonts w:hint="eastAsia" w:asciiTheme="minorEastAsia" w:hAnsiTheme="minorEastAsia" w:eastAsiaTheme="minorEastAsia" w:cstheme="minorEastAsia"/>
          <w:b/>
          <w:bCs/>
          <w:sz w:val="24"/>
          <w:szCs w:val="24"/>
          <w:highlight w:val="none"/>
          <w:lang w:eastAsia="zh-CN"/>
        </w:rPr>
        <w:t>人资质要求</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1.比选申请人为法人或非法人组织，且未被市场监管部门列入经营异常名录；</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2.比选申请人具有</w:t>
      </w:r>
      <w:r>
        <w:rPr>
          <w:rFonts w:hint="eastAsia" w:asciiTheme="minorEastAsia" w:hAnsiTheme="minorEastAsia" w:eastAsiaTheme="minorEastAsia" w:cstheme="minorEastAsia"/>
          <w:b w:val="0"/>
          <w:bCs w:val="0"/>
          <w:kern w:val="2"/>
          <w:sz w:val="24"/>
          <w:szCs w:val="24"/>
          <w:highlight w:val="none"/>
          <w:lang w:val="en-US" w:eastAsia="zh" w:bidi="ar-SA"/>
        </w:rPr>
        <w:t>省级以上</w:t>
      </w:r>
      <w:r>
        <w:rPr>
          <w:rFonts w:hint="eastAsia" w:asciiTheme="minorEastAsia" w:hAnsiTheme="minorEastAsia" w:eastAsiaTheme="minorEastAsia" w:cstheme="minorEastAsia"/>
          <w:b w:val="0"/>
          <w:bCs w:val="0"/>
          <w:kern w:val="2"/>
          <w:sz w:val="24"/>
          <w:szCs w:val="24"/>
          <w:highlight w:val="none"/>
          <w:lang w:val="en-US" w:eastAsia="zh-CN" w:bidi="ar-SA"/>
        </w:rPr>
        <w:t>（含省级）</w:t>
      </w:r>
      <w:r>
        <w:rPr>
          <w:rFonts w:hint="eastAsia" w:asciiTheme="minorEastAsia" w:hAnsiTheme="minorEastAsia" w:eastAsiaTheme="minorEastAsia" w:cstheme="minorEastAsia"/>
          <w:b w:val="0"/>
          <w:bCs w:val="0"/>
          <w:kern w:val="2"/>
          <w:sz w:val="24"/>
          <w:szCs w:val="24"/>
          <w:highlight w:val="none"/>
          <w:lang w:val="en-US" w:eastAsia="zh" w:bidi="ar-SA"/>
        </w:rPr>
        <w:t>应急管理部门颁发的安全评价机构资质（范围覆盖油气管道运输）</w:t>
      </w:r>
      <w:r>
        <w:rPr>
          <w:rFonts w:hint="eastAsia" w:asciiTheme="minorEastAsia" w:hAnsiTheme="minorEastAsia" w:eastAsiaTheme="minorEastAsia" w:cstheme="minorEastAsia"/>
          <w:b w:val="0"/>
          <w:bCs w:val="0"/>
          <w:kern w:val="2"/>
          <w:sz w:val="24"/>
          <w:szCs w:val="24"/>
          <w:highlight w:val="none"/>
          <w:lang w:val="en-US" w:eastAsia="zh-CN" w:bidi="ar-SA"/>
        </w:rPr>
        <w:t>；</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3.近</w:t>
      </w:r>
      <w:r>
        <w:rPr>
          <w:rFonts w:hint="eastAsia" w:asciiTheme="minorEastAsia" w:hAnsiTheme="minorEastAsia" w:eastAsiaTheme="minorEastAsia" w:cstheme="minorEastAsia"/>
          <w:b w:val="0"/>
          <w:bCs w:val="0"/>
          <w:kern w:val="2"/>
          <w:sz w:val="24"/>
          <w:szCs w:val="24"/>
          <w:highlight w:val="none"/>
          <w:lang w:val="en-US" w:eastAsia="zh" w:bidi="ar-SA"/>
        </w:rPr>
        <w:t>三</w:t>
      </w:r>
      <w:r>
        <w:rPr>
          <w:rFonts w:hint="eastAsia" w:asciiTheme="minorEastAsia" w:hAnsiTheme="minorEastAsia" w:eastAsiaTheme="minorEastAsia" w:cstheme="minorEastAsia"/>
          <w:b w:val="0"/>
          <w:bCs w:val="0"/>
          <w:kern w:val="2"/>
          <w:sz w:val="24"/>
          <w:szCs w:val="24"/>
          <w:highlight w:val="none"/>
          <w:lang w:val="en-US" w:eastAsia="zh-CN" w:bidi="ar-SA"/>
        </w:rPr>
        <w:t>年开展业绩不低于</w:t>
      </w:r>
      <w:r>
        <w:rPr>
          <w:rFonts w:hint="eastAsia" w:asciiTheme="minorEastAsia" w:hAnsiTheme="minorEastAsia" w:eastAsiaTheme="minorEastAsia" w:cstheme="minorEastAsia"/>
          <w:b w:val="0"/>
          <w:bCs w:val="0"/>
          <w:kern w:val="2"/>
          <w:sz w:val="24"/>
          <w:szCs w:val="24"/>
          <w:highlight w:val="none"/>
          <w:lang w:val="en-US" w:eastAsia="zh" w:bidi="ar-SA"/>
        </w:rPr>
        <w:t>1</w:t>
      </w:r>
      <w:r>
        <w:rPr>
          <w:rFonts w:hint="eastAsia" w:asciiTheme="minorEastAsia" w:hAnsiTheme="minorEastAsia" w:eastAsiaTheme="minorEastAsia" w:cstheme="minorEastAsia"/>
          <w:b w:val="0"/>
          <w:bCs w:val="0"/>
          <w:kern w:val="2"/>
          <w:sz w:val="24"/>
          <w:szCs w:val="24"/>
          <w:highlight w:val="none"/>
          <w:lang w:val="en-US" w:eastAsia="zh-CN" w:bidi="ar-SA"/>
        </w:rPr>
        <w:t>个。</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lang w:val="en-US" w:eastAsia="zh-CN"/>
        </w:rPr>
        <w:t>比选文件的获取</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2025年2月18日起，比选申请人登录天府阳光采购服务平台</w:t>
      </w:r>
      <w:r>
        <w:rPr>
          <w:rFonts w:hint="eastAsia" w:asciiTheme="minorEastAsia" w:hAnsiTheme="minorEastAsia" w:eastAsiaTheme="minorEastAsia" w:cstheme="minorEastAsia"/>
          <w:sz w:val="24"/>
          <w:szCs w:val="24"/>
          <w:highlight w:val="none"/>
          <w:lang w:val="en-US" w:eastAsia="zh-CN"/>
        </w:rPr>
        <w:t>、川投（泸州）燃气发电有限公司管网下载</w:t>
      </w:r>
      <w:r>
        <w:rPr>
          <w:rFonts w:hint="eastAsia" w:asciiTheme="minorEastAsia" w:hAnsiTheme="minorEastAsia" w:eastAsiaTheme="minorEastAsia" w:cstheme="minorEastAsia"/>
          <w:b w:val="0"/>
          <w:bCs w:val="0"/>
          <w:kern w:val="2"/>
          <w:sz w:val="24"/>
          <w:szCs w:val="24"/>
          <w:highlight w:val="none"/>
          <w:lang w:val="en-US" w:eastAsia="zh-CN" w:bidi="ar-SA"/>
        </w:rPr>
        <w:t>。</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四、送达比选申请文件的截止时间、方式</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比选申请文件送达截止时间：2025年2月25日10:00。</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比选申请文件送达地点：四川泸州川南</w:t>
      </w:r>
      <w:r>
        <w:rPr>
          <w:rFonts w:hint="eastAsia" w:asciiTheme="minorEastAsia" w:hAnsiTheme="minorEastAsia" w:eastAsiaTheme="minorEastAsia" w:cstheme="minorEastAsia"/>
          <w:sz w:val="24"/>
          <w:szCs w:val="24"/>
          <w:highlight w:val="none"/>
          <w:lang w:val="en-US" w:eastAsia="zh-CN"/>
        </w:rPr>
        <w:t>发电公司（泸州市江阳区江北镇）。</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五、联系电话及比选公告发布媒介</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川投（泸州）燃气发电有限公司，0830-3628192</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比选公告在天府阳光采购服务平台、川投（泸州）燃气发电有限公司官网发布。</w:t>
      </w:r>
    </w:p>
    <w:p>
      <w:pPr>
        <w:pStyle w:val="3"/>
        <w:keepLines w:val="0"/>
        <w:tabs>
          <w:tab w:val="left" w:pos="720"/>
        </w:tabs>
        <w:spacing w:before="0" w:after="0" w:line="240" w:lineRule="auto"/>
        <w:jc w:val="both"/>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pStyle w:val="2"/>
        <w:rPr>
          <w:rFonts w:hint="eastAsia"/>
        </w:rPr>
      </w:pPr>
    </w:p>
    <w:p>
      <w:pPr>
        <w:rPr>
          <w:rFonts w:hint="eastAsia" w:ascii="宋体" w:hAnsi="宋体"/>
          <w:color w:val="000000" w:themeColor="text1"/>
          <w:sz w:val="28"/>
          <w:szCs w:val="28"/>
          <w:highlight w:val="none"/>
          <w14:textFill>
            <w14:solidFill>
              <w14:schemeClr w14:val="tx1"/>
            </w14:solidFill>
          </w14:textFill>
        </w:rPr>
      </w:pPr>
    </w:p>
    <w:p>
      <w:pPr>
        <w:rPr>
          <w:rFonts w:hint="eastAsia"/>
        </w:rPr>
      </w:pPr>
    </w:p>
    <w:p>
      <w:pPr>
        <w:rPr>
          <w:rFonts w:hint="eastAsia"/>
        </w:rPr>
      </w:pPr>
    </w:p>
    <w:p>
      <w:pPr>
        <w:pStyle w:val="3"/>
        <w:keepLines w:val="0"/>
        <w:tabs>
          <w:tab w:val="left" w:pos="720"/>
        </w:tabs>
        <w:spacing w:before="0" w:after="0" w:line="24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 xml:space="preserve">第二章  </w:t>
      </w:r>
      <w:r>
        <w:rPr>
          <w:rFonts w:hint="eastAsia" w:ascii="宋体" w:hAnsi="宋体"/>
          <w:color w:val="000000" w:themeColor="text1"/>
          <w:sz w:val="28"/>
          <w:szCs w:val="28"/>
          <w:highlight w:val="none"/>
          <w14:textFill>
            <w14:solidFill>
              <w14:schemeClr w14:val="tx1"/>
            </w14:solidFill>
          </w14:textFill>
        </w:rPr>
        <w:t>比选须知前附表</w:t>
      </w:r>
      <w:bookmarkEnd w:id="0"/>
    </w:p>
    <w:p>
      <w:pPr>
        <w:rPr>
          <w:color w:val="000000" w:themeColor="text1"/>
          <w:highlight w:val="none"/>
          <w14:textFill>
            <w14:solidFill>
              <w14:schemeClr w14:val="tx1"/>
            </w14:solidFill>
          </w14:textFill>
        </w:rPr>
      </w:pPr>
    </w:p>
    <w:tbl>
      <w:tblPr>
        <w:tblStyle w:val="21"/>
        <w:tblW w:w="9190" w:type="dxa"/>
        <w:tblInd w:w="-1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88"/>
        <w:gridCol w:w="2071"/>
        <w:gridCol w:w="63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 w:hRule="atLeast"/>
        </w:trPr>
        <w:tc>
          <w:tcPr>
            <w:tcW w:w="788" w:type="dxa"/>
            <w:tcBorders>
              <w:top w:val="single" w:color="auto" w:sz="4" w:space="0"/>
              <w:left w:val="single" w:color="auto" w:sz="4" w:space="0"/>
              <w:bottom w:val="single" w:color="auto" w:sz="4" w:space="0"/>
              <w:right w:val="single" w:color="auto" w:sz="4" w:space="0"/>
            </w:tcBorders>
            <w:vAlign w:val="center"/>
          </w:tcPr>
          <w:p>
            <w:pPr>
              <w:ind w:right="-358"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项号</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    容</w:t>
            </w:r>
          </w:p>
        </w:tc>
        <w:tc>
          <w:tcPr>
            <w:tcW w:w="6331"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c>
        <w:tc>
          <w:tcPr>
            <w:tcW w:w="633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天然气管线工程危险和可操作性分析报告编制服务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工程地点</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四川省</w:t>
            </w:r>
            <w:r>
              <w:rPr>
                <w:rFonts w:hint="eastAsia" w:ascii="宋体" w:hAnsi="宋体" w:cs="宋体"/>
                <w:color w:val="000000" w:themeColor="text1"/>
                <w:szCs w:val="21"/>
                <w:highlight w:val="none"/>
                <w:lang w:val="en-US" w:eastAsia="zh-CN"/>
                <w14:textFill>
                  <w14:solidFill>
                    <w14:schemeClr w14:val="tx1"/>
                  </w14:solidFill>
                </w14:textFill>
              </w:rPr>
              <w:t>泸州市江阳区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比选范围</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zh-CN"/>
                <w14:textFill>
                  <w14:solidFill>
                    <w14:schemeClr w14:val="tx1"/>
                  </w14:solidFill>
                </w14:textFill>
              </w:rPr>
              <w:t>详见“</w:t>
            </w:r>
            <w:r>
              <w:rPr>
                <w:rFonts w:hint="eastAsia" w:ascii="宋体" w:hAnsi="宋体"/>
                <w:color w:val="000000" w:themeColor="text1"/>
                <w:szCs w:val="21"/>
                <w:highlight w:val="none"/>
                <w:lang w:val="en-US" w:eastAsia="zh-CN"/>
                <w14:textFill>
                  <w14:solidFill>
                    <w14:schemeClr w14:val="tx1"/>
                  </w14:solidFill>
                </w14:textFill>
              </w:rPr>
              <w:t>第五章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7"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承包方式</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总价承包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质量标准</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8"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8"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比选申请人</w:t>
            </w:r>
            <w:r>
              <w:rPr>
                <w:rFonts w:hint="eastAsia" w:ascii="宋体" w:hAnsi="宋体" w:cs="宋体"/>
                <w:color w:val="000000" w:themeColor="text1"/>
                <w:szCs w:val="21"/>
                <w:highlight w:val="none"/>
                <w:lang w:val="en-US" w:eastAsia="zh-CN"/>
                <w14:textFill>
                  <w14:solidFill>
                    <w14:schemeClr w14:val="tx1"/>
                  </w14:solidFill>
                </w14:textFill>
              </w:rPr>
              <w:t>资格</w:t>
            </w:r>
            <w:r>
              <w:rPr>
                <w:rFonts w:hint="eastAsia" w:ascii="宋体" w:hAnsi="宋体" w:cs="宋体"/>
                <w:color w:val="000000" w:themeColor="text1"/>
                <w:szCs w:val="21"/>
                <w:highlight w:val="none"/>
                <w14:textFill>
                  <w14:solidFill>
                    <w14:schemeClr w14:val="tx1"/>
                  </w14:solidFill>
                </w14:textFill>
              </w:rPr>
              <w:t>资质</w:t>
            </w:r>
            <w:r>
              <w:rPr>
                <w:rFonts w:hint="eastAsia" w:ascii="宋体" w:hAnsi="宋体" w:cs="宋体"/>
                <w:color w:val="000000" w:themeColor="text1"/>
                <w:szCs w:val="21"/>
                <w:highlight w:val="none"/>
                <w:lang w:val="en-US" w:eastAsia="zh-CN"/>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要求</w:t>
            </w:r>
          </w:p>
        </w:tc>
        <w:tc>
          <w:tcPr>
            <w:tcW w:w="6331" w:type="dxa"/>
            <w:tcBorders>
              <w:top w:val="single" w:color="auto" w:sz="4" w:space="0"/>
              <w:left w:val="single" w:color="auto" w:sz="4" w:space="0"/>
              <w:bottom w:val="single" w:color="auto" w:sz="4" w:space="0"/>
              <w:right w:val="single" w:color="auto" w:sz="4" w:space="0"/>
            </w:tcBorders>
            <w:vAlign w:val="center"/>
          </w:tcPr>
          <w:p>
            <w:pPr>
              <w:pStyle w:val="9"/>
              <w:widowControl/>
              <w:spacing w:line="240" w:lineRule="auto"/>
              <w:ind w:left="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详</w:t>
            </w:r>
            <w:r>
              <w:rPr>
                <w:rFonts w:hint="eastAsia" w:ascii="宋体" w:hAnsi="宋体" w:cs="宋体"/>
                <w:color w:val="000000" w:themeColor="text1"/>
                <w:sz w:val="21"/>
                <w:szCs w:val="21"/>
                <w:highlight w:val="none"/>
                <w14:textFill>
                  <w14:solidFill>
                    <w14:schemeClr w14:val="tx1"/>
                  </w14:solidFill>
                </w14:textFill>
              </w:rPr>
              <w:t>见</w:t>
            </w:r>
            <w:r>
              <w:rPr>
                <w:rFonts w:hint="eastAsia" w:ascii="宋体" w:hAnsi="宋体" w:cs="宋体"/>
                <w:color w:val="000000" w:themeColor="text1"/>
                <w:sz w:val="21"/>
                <w:szCs w:val="21"/>
                <w:highlight w:val="none"/>
                <w:lang w:val="en-US" w:eastAsia="zh-CN"/>
                <w14:textFill>
                  <w14:solidFill>
                    <w14:schemeClr w14:val="tx1"/>
                  </w14:solidFill>
                </w14:textFill>
              </w:rPr>
              <w:t>比选文件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7"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资格审查方式</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4"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合同工期</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en-US" w:eastAsia="zh-CN"/>
                <w14:textFill>
                  <w14:solidFill>
                    <w14:schemeClr w14:val="tx1"/>
                  </w14:solidFill>
                </w14:textFill>
              </w:rPr>
              <w:t>详见</w:t>
            </w:r>
            <w:r>
              <w:rPr>
                <w:rFonts w:hint="eastAsia" w:ascii="宋体" w:hAnsi="宋体" w:cs="宋体"/>
                <w:color w:val="000000" w:themeColor="text1"/>
                <w:kern w:val="24"/>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第五章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比选有效期</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120</w:t>
            </w:r>
            <w:r>
              <w:rPr>
                <w:rFonts w:hint="eastAsia" w:ascii="宋体" w:hAnsi="宋体" w:cs="宋体"/>
                <w:color w:val="000000" w:themeColor="text1"/>
                <w:szCs w:val="21"/>
                <w:highlight w:val="none"/>
                <w14:textFill>
                  <w14:solidFill>
                    <w14:schemeClr w14:val="tx1"/>
                  </w14:solidFill>
                </w14:textFill>
              </w:rPr>
              <w:t>日历天（从比选截止之日起计算）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比选保证金</w:t>
            </w:r>
          </w:p>
        </w:tc>
        <w:tc>
          <w:tcPr>
            <w:tcW w:w="633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highlight w:val="none"/>
              </w:rPr>
            </w:pPr>
            <w:r>
              <w:rPr>
                <w:rFonts w:hint="eastAsia"/>
                <w:highlight w:val="none"/>
                <w:lang w:val="en-US" w:eastAsia="zh-CN"/>
              </w:rPr>
              <w:t>比选</w:t>
            </w:r>
            <w:r>
              <w:rPr>
                <w:rFonts w:hint="eastAsia"/>
                <w:highlight w:val="none"/>
              </w:rPr>
              <w:t>保证金为</w:t>
            </w:r>
            <w:r>
              <w:rPr>
                <w:rFonts w:hint="eastAsia"/>
                <w:highlight w:val="none"/>
                <w:lang w:val="en-US" w:eastAsia="zh-CN"/>
              </w:rPr>
              <w:t>¥</w:t>
            </w:r>
            <w:r>
              <w:rPr>
                <w:rFonts w:hint="eastAsia"/>
                <w:highlight w:val="none"/>
                <w:lang w:val="en-US" w:eastAsia="zh"/>
              </w:rPr>
              <w:t>2</w:t>
            </w:r>
            <w:r>
              <w:rPr>
                <w:rFonts w:hint="eastAsia"/>
                <w:highlight w:val="none"/>
                <w:lang w:val="en-US" w:eastAsia="zh-CN"/>
              </w:rPr>
              <w:t>,000</w:t>
            </w:r>
            <w:r>
              <w:rPr>
                <w:rFonts w:hint="eastAsia"/>
                <w:highlight w:val="none"/>
              </w:rPr>
              <w:t>元，到账截止时间为</w:t>
            </w:r>
            <w:r>
              <w:rPr>
                <w:rFonts w:hint="eastAsia"/>
                <w:highlight w:val="none"/>
                <w:lang w:eastAsia="zh-CN"/>
              </w:rPr>
              <w:t>2025</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val="en-US" w:eastAsia="zh-CN"/>
              </w:rPr>
              <w:t>上午9</w:t>
            </w:r>
            <w:r>
              <w:rPr>
                <w:rFonts w:hint="eastAsia"/>
                <w:highlight w:val="none"/>
              </w:rPr>
              <w:t>：</w:t>
            </w:r>
            <w:r>
              <w:rPr>
                <w:rFonts w:hint="eastAsia"/>
                <w:highlight w:val="none"/>
                <w:lang w:val="en-US" w:eastAsia="zh-CN"/>
              </w:rPr>
              <w:t>3</w:t>
            </w:r>
            <w:r>
              <w:rPr>
                <w:rFonts w:hint="eastAsia"/>
                <w:highlight w:val="none"/>
              </w:rPr>
              <w:t>0</w:t>
            </w:r>
            <w:r>
              <w:rPr>
                <w:rFonts w:hint="eastAsia" w:ascii="Times New Roman" w:hAnsi="Times New Roman" w:eastAsia="宋体" w:cs="Times New Roman"/>
                <w:highlight w:val="none"/>
              </w:rPr>
              <w:t>。</w:t>
            </w:r>
          </w:p>
          <w:p>
            <w:pPr>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投标人</w:t>
            </w:r>
            <w:r>
              <w:rPr>
                <w:rFonts w:hint="eastAsia" w:ascii="Times New Roman" w:hAnsi="Times New Roman" w:eastAsia="宋体" w:cs="Times New Roman"/>
                <w:highlight w:val="none"/>
              </w:rPr>
              <w:t>可以选择下列两种形式之一提交:</w:t>
            </w:r>
          </w:p>
          <w:p>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（1）转账</w:t>
            </w:r>
            <w:r>
              <w:rPr>
                <w:rFonts w:hint="eastAsia" w:cs="Times New Roman"/>
                <w:highlight w:val="none"/>
                <w:lang w:val="en-US" w:eastAsia="zh-CN"/>
              </w:rPr>
              <w:t>：</w:t>
            </w:r>
            <w:r>
              <w:rPr>
                <w:rFonts w:hint="eastAsia" w:ascii="Times New Roman" w:hAnsi="Times New Roman" w:eastAsia="宋体" w:cs="Times New Roman"/>
                <w:highlight w:val="none"/>
              </w:rPr>
              <w:t>户名:</w:t>
            </w:r>
            <w:r>
              <w:rPr>
                <w:rFonts w:hint="eastAsia" w:ascii="Times New Roman" w:hAnsi="Times New Roman" w:eastAsia="宋体" w:cs="Times New Roman"/>
                <w:highlight w:val="none"/>
                <w:lang w:val="en-US" w:eastAsia="zh-CN"/>
              </w:rPr>
              <w:t>川投（</w:t>
            </w:r>
            <w:r>
              <w:rPr>
                <w:rFonts w:hint="eastAsia" w:ascii="Times New Roman" w:hAnsi="Times New Roman" w:eastAsia="宋体" w:cs="Times New Roman"/>
                <w:highlight w:val="none"/>
                <w:lang w:eastAsia="zh-CN"/>
              </w:rPr>
              <w:t>泸州）</w:t>
            </w:r>
            <w:r>
              <w:rPr>
                <w:rFonts w:hint="eastAsia" w:ascii="Times New Roman" w:hAnsi="Times New Roman" w:eastAsia="宋体" w:cs="Times New Roman"/>
                <w:highlight w:val="none"/>
                <w:lang w:val="en-US" w:eastAsia="zh-CN"/>
              </w:rPr>
              <w:t>燃气发电</w:t>
            </w:r>
            <w:r>
              <w:rPr>
                <w:rFonts w:hint="eastAsia" w:ascii="Times New Roman" w:hAnsi="Times New Roman" w:eastAsia="宋体" w:cs="Times New Roman"/>
                <w:highlight w:val="none"/>
                <w:lang w:eastAsia="zh-CN"/>
              </w:rPr>
              <w:t>有限公司</w:t>
            </w:r>
            <w:r>
              <w:rPr>
                <w:rFonts w:hint="eastAsia" w:cs="Times New Roman"/>
                <w:highlight w:val="none"/>
                <w:lang w:eastAsia="zh-CN"/>
              </w:rPr>
              <w:t>；</w:t>
            </w:r>
            <w:r>
              <w:rPr>
                <w:rFonts w:hint="eastAsia" w:ascii="Times New Roman" w:hAnsi="Times New Roman" w:eastAsia="宋体" w:cs="Times New Roman"/>
                <w:highlight w:val="none"/>
              </w:rPr>
              <w:t>开行：</w:t>
            </w:r>
            <w:r>
              <w:rPr>
                <w:rFonts w:hint="eastAsia" w:ascii="Times New Roman" w:hAnsi="Times New Roman" w:eastAsia="宋体" w:cs="Times New Roman"/>
                <w:highlight w:val="none"/>
                <w:lang w:val="en-US" w:eastAsia="zh-CN"/>
              </w:rPr>
              <w:t>工行</w:t>
            </w:r>
            <w:r>
              <w:rPr>
                <w:rFonts w:hint="eastAsia" w:ascii="Times New Roman" w:hAnsi="Times New Roman" w:eastAsia="宋体" w:cs="Times New Roman"/>
                <w:highlight w:val="none"/>
              </w:rPr>
              <w:t>泸州江阳支行</w:t>
            </w:r>
            <w:r>
              <w:rPr>
                <w:rFonts w:hint="eastAsia" w:cs="Times New Roman"/>
                <w:highlight w:val="none"/>
                <w:lang w:eastAsia="zh-CN"/>
              </w:rPr>
              <w:t>；</w:t>
            </w:r>
            <w:r>
              <w:rPr>
                <w:rFonts w:hint="eastAsia" w:ascii="Times New Roman" w:hAnsi="Times New Roman" w:eastAsia="宋体" w:cs="Times New Roman"/>
                <w:highlight w:val="none"/>
              </w:rPr>
              <w:t>帐号：</w:t>
            </w:r>
            <w:r>
              <w:rPr>
                <w:rFonts w:hint="eastAsia" w:ascii="Times New Roman" w:hAnsi="Times New Roman" w:eastAsia="宋体" w:cs="Times New Roman"/>
                <w:highlight w:val="none"/>
                <w:lang w:val="en-US" w:eastAsia="zh-CN"/>
              </w:rPr>
              <w:t>2304343109100024976</w:t>
            </w:r>
          </w:p>
          <w:p>
            <w:pPr>
              <w:rPr>
                <w:rFonts w:ascii="宋体" w:hAnsi="宋体" w:cs="宋体"/>
                <w:color w:val="000000" w:themeColor="text1"/>
                <w:szCs w:val="21"/>
                <w:highlight w:val="none"/>
                <w14:textFill>
                  <w14:solidFill>
                    <w14:schemeClr w14:val="tx1"/>
                  </w14:solidFill>
                </w14:textFill>
              </w:rPr>
            </w:pPr>
            <w:r>
              <w:rPr>
                <w:rFonts w:hint="eastAsia" w:ascii="Times New Roman" w:hAnsi="Times New Roman" w:eastAsia="宋体" w:cs="Times New Roman"/>
                <w:highlight w:val="none"/>
                <w:lang w:val="en-US" w:eastAsia="zh-CN"/>
              </w:rPr>
              <w:t>（2）保函</w:t>
            </w:r>
            <w:r>
              <w:rPr>
                <w:rFonts w:hint="eastAsia" w:cs="Times New Roman"/>
                <w:highlight w:val="none"/>
                <w:lang w:val="en-US" w:eastAsia="zh-CN"/>
              </w:rPr>
              <w:t>：</w:t>
            </w:r>
            <w:r>
              <w:rPr>
                <w:rFonts w:hint="eastAsia" w:ascii="Times New Roman" w:hAnsi="Times New Roman" w:cs="Times New Roman"/>
                <w:highlight w:val="none"/>
                <w:lang w:val="en-US" w:eastAsia="zh-CN"/>
              </w:rPr>
              <w:t>投标人</w:t>
            </w:r>
            <w:r>
              <w:rPr>
                <w:rFonts w:hint="default" w:ascii="Times New Roman" w:hAnsi="Times New Roman" w:eastAsia="宋体" w:cs="Times New Roman"/>
                <w:highlight w:val="none"/>
                <w:lang w:val="en-US" w:eastAsia="zh-CN"/>
              </w:rPr>
              <w:t>需将保函</w:t>
            </w:r>
            <w:r>
              <w:rPr>
                <w:rFonts w:hint="eastAsia" w:ascii="Times New Roman" w:hAnsi="Times New Roman" w:eastAsia="宋体" w:cs="Times New Roman"/>
                <w:highlight w:val="none"/>
                <w:lang w:val="en-US" w:eastAsia="zh-CN"/>
              </w:rPr>
              <w:t>原件与</w:t>
            </w:r>
            <w:r>
              <w:rPr>
                <w:rFonts w:hint="eastAsia" w:ascii="Times New Roman" w:hAnsi="Times New Roman" w:cs="Times New Roman"/>
                <w:highlight w:val="none"/>
                <w:lang w:val="en-US" w:eastAsia="zh-CN"/>
              </w:rPr>
              <w:t>投标</w:t>
            </w:r>
            <w:r>
              <w:rPr>
                <w:rFonts w:hint="default" w:ascii="Times New Roman" w:hAnsi="Times New Roman" w:eastAsia="宋体" w:cs="Times New Roman"/>
                <w:highlight w:val="none"/>
                <w:lang w:val="en-US" w:eastAsia="zh-CN"/>
              </w:rPr>
              <w:t>文件</w:t>
            </w:r>
            <w:r>
              <w:rPr>
                <w:rFonts w:hint="eastAsia" w:ascii="Times New Roman" w:hAnsi="Times New Roman" w:eastAsia="宋体" w:cs="Times New Roman"/>
                <w:highlight w:val="none"/>
                <w:lang w:val="en-US" w:eastAsia="zh-CN"/>
              </w:rPr>
              <w:t>一并递交</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60"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踏勘现场</w:t>
            </w:r>
          </w:p>
        </w:tc>
        <w:tc>
          <w:tcPr>
            <w:tcW w:w="633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5"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比选申请文件封装</w:t>
            </w:r>
          </w:p>
        </w:tc>
        <w:tc>
          <w:tcPr>
            <w:tcW w:w="633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商务</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技术</w:t>
            </w:r>
            <w:r>
              <w:rPr>
                <w:rFonts w:hint="eastAsia" w:ascii="宋体" w:hAnsi="宋体" w:cs="宋体"/>
                <w:b/>
                <w:color w:val="000000" w:themeColor="text1"/>
                <w:szCs w:val="21"/>
                <w:highlight w:val="none"/>
                <w:lang w:val="en-US" w:eastAsia="zh-CN"/>
                <w14:textFill>
                  <w14:solidFill>
                    <w14:schemeClr w14:val="tx1"/>
                  </w14:solidFill>
                </w14:textFill>
              </w:rPr>
              <w:t>文件</w:t>
            </w:r>
            <w:r>
              <w:rPr>
                <w:rFonts w:hint="eastAsia" w:ascii="宋体" w:hAnsi="宋体" w:cs="宋体"/>
                <w:b/>
                <w:color w:val="000000" w:themeColor="text1"/>
                <w:szCs w:val="21"/>
                <w:highlight w:val="none"/>
                <w14:textFill>
                  <w14:solidFill>
                    <w14:schemeClr w14:val="tx1"/>
                  </w14:solidFill>
                </w14:textFill>
              </w:rPr>
              <w:t>合装。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5"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文件份数页码和小签</w:t>
            </w:r>
          </w:p>
        </w:tc>
        <w:tc>
          <w:tcPr>
            <w:tcW w:w="633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纸质版</w:t>
            </w:r>
            <w:r>
              <w:rPr>
                <w:rFonts w:hint="eastAsia" w:ascii="宋体" w:hAnsi="宋体" w:cs="宋体"/>
                <w:color w:val="000000" w:themeColor="text1"/>
                <w:szCs w:val="21"/>
                <w:highlight w:val="none"/>
                <w14:textFill>
                  <w14:solidFill>
                    <w14:schemeClr w14:val="tx1"/>
                  </w14:solidFill>
                </w14:textFill>
              </w:rPr>
              <w:t>正本</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份，副本</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份；电子版1套：</w:t>
            </w:r>
            <w:r>
              <w:rPr>
                <w:rFonts w:hint="eastAsia" w:ascii="宋体" w:hAnsi="宋体" w:cs="宋体"/>
                <w:color w:val="000000" w:themeColor="text1"/>
                <w:kern w:val="0"/>
                <w:szCs w:val="21"/>
                <w:highlight w:val="none"/>
                <w14:textFill>
                  <w14:solidFill>
                    <w14:schemeClr w14:val="tx1"/>
                  </w14:solidFill>
                </w14:textFill>
              </w:rPr>
              <w:t>1）从目录开始连续、逐页</w:t>
            </w:r>
            <w:r>
              <w:rPr>
                <w:rFonts w:hint="eastAsia" w:ascii="宋体" w:hAnsi="宋体" w:cs="宋体"/>
                <w:color w:val="000000" w:themeColor="text1"/>
                <w:kern w:val="0"/>
                <w:szCs w:val="21"/>
                <w:highlight w:val="none"/>
                <w:lang w:val="en-US" w:eastAsia="zh-CN"/>
                <w14:textFill>
                  <w14:solidFill>
                    <w14:schemeClr w14:val="tx1"/>
                  </w14:solidFill>
                </w14:textFill>
              </w:rPr>
              <w:t>底端</w:t>
            </w:r>
            <w:r>
              <w:rPr>
                <w:rFonts w:hint="eastAsia" w:ascii="宋体" w:hAnsi="宋体" w:cs="宋体"/>
                <w:color w:val="000000" w:themeColor="text1"/>
                <w:kern w:val="0"/>
                <w:szCs w:val="21"/>
                <w:highlight w:val="none"/>
                <w14:textFill>
                  <w14:solidFill>
                    <w14:schemeClr w14:val="tx1"/>
                  </w14:solidFill>
                </w14:textFill>
              </w:rPr>
              <w:t>编页码；2）在编有页码的页面底端小签全名。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0"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文件提交地点及截止时间</w:t>
            </w:r>
          </w:p>
        </w:tc>
        <w:tc>
          <w:tcPr>
            <w:tcW w:w="63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文件递交地点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四川</w:t>
            </w:r>
            <w:r>
              <w:rPr>
                <w:rFonts w:hint="eastAsia" w:ascii="宋体" w:hAnsi="宋体" w:eastAsia="宋体" w:cs="宋体"/>
                <w:color w:val="000000" w:themeColor="text1"/>
                <w:szCs w:val="21"/>
                <w:highlight w:val="none"/>
                <w:lang w:val="en-US" w:eastAsia="zh-CN"/>
                <w14:textFill>
                  <w14:solidFill>
                    <w14:schemeClr w14:val="tx1"/>
                  </w14:solidFill>
                </w14:textFill>
              </w:rPr>
              <w:t>泸州</w:t>
            </w:r>
            <w:r>
              <w:rPr>
                <w:rFonts w:hint="eastAsia" w:ascii="宋体" w:hAnsi="宋体" w:cs="宋体"/>
                <w:color w:val="000000" w:themeColor="text1"/>
                <w:szCs w:val="21"/>
                <w:highlight w:val="none"/>
                <w:lang w:val="en-US" w:eastAsia="zh-CN"/>
                <w14:textFill>
                  <w14:solidFill>
                    <w14:schemeClr w14:val="tx1"/>
                  </w14:solidFill>
                </w14:textFill>
              </w:rPr>
              <w:t>川南</w:t>
            </w:r>
            <w:r>
              <w:rPr>
                <w:rFonts w:hint="eastAsia" w:ascii="宋体" w:hAnsi="宋体" w:eastAsia="宋体" w:cs="宋体"/>
                <w:color w:val="000000" w:themeColor="text1"/>
                <w:szCs w:val="21"/>
                <w:highlight w:val="none"/>
                <w:lang w:val="en-US" w:eastAsia="zh-CN"/>
                <w14:textFill>
                  <w14:solidFill>
                    <w14:schemeClr w14:val="tx1"/>
                  </w14:solidFill>
                </w14:textFill>
              </w:rPr>
              <w:t>发电公司</w:t>
            </w:r>
            <w:r>
              <w:rPr>
                <w:rFonts w:hint="eastAsia" w:ascii="宋体" w:hAnsi="宋体" w:cs="宋体"/>
                <w:color w:val="000000" w:themeColor="text1"/>
                <w:szCs w:val="21"/>
                <w:highlight w:val="none"/>
                <w:lang w:val="en-US" w:eastAsia="zh-CN"/>
                <w14:textFill>
                  <w14:solidFill>
                    <w14:schemeClr w14:val="tx1"/>
                  </w14:solidFill>
                </w14:textFill>
              </w:rPr>
              <w:t>正大门门卫室</w:t>
            </w:r>
            <w:r>
              <w:rPr>
                <w:rFonts w:hint="eastAsia" w:ascii="宋体" w:hAnsi="宋体" w:eastAsia="宋体" w:cs="宋体"/>
                <w:color w:val="000000" w:themeColor="text1"/>
                <w:szCs w:val="21"/>
                <w:highlight w:val="none"/>
                <w:lang w:val="en-US" w:eastAsia="zh-CN"/>
                <w14:textFill>
                  <w14:solidFill>
                    <w14:schemeClr w14:val="tx1"/>
                  </w14:solidFill>
                </w14:textFill>
              </w:rPr>
              <w:t>（泸州市江阳区江北镇）</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比选截止时间：</w:t>
            </w:r>
            <w:r>
              <w:rPr>
                <w:rFonts w:hint="eastAsia" w:ascii="宋体" w:hAnsi="宋体" w:cs="宋体"/>
                <w:color w:val="000000" w:themeColor="text1"/>
                <w:szCs w:val="21"/>
                <w:highlight w:val="none"/>
                <w:lang w:eastAsia="zh-CN"/>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u w:val="none"/>
                <w14:textFill>
                  <w14:solidFill>
                    <w14:schemeClr w14:val="tx1"/>
                  </w14:solidFill>
                </w14:textFill>
              </w:rPr>
              <w:t>月</w:t>
            </w:r>
            <w:r>
              <w:rPr>
                <w:rFonts w:hint="eastAsia" w:ascii="宋体" w:hAnsi="宋体" w:cs="宋体"/>
                <w:color w:val="000000" w:themeColor="text1"/>
                <w:szCs w:val="21"/>
                <w:highlight w:val="none"/>
                <w:u w:val="none"/>
                <w:lang w:val="en-US" w:eastAsia="zh-CN"/>
                <w14:textFill>
                  <w14:solidFill>
                    <w14:schemeClr w14:val="tx1"/>
                  </w14:solidFill>
                </w14:textFill>
              </w:rPr>
              <w:t>25</w:t>
            </w:r>
            <w:r>
              <w:rPr>
                <w:rFonts w:hint="eastAsia" w:ascii="宋体" w:hAnsi="宋体" w:cs="宋体"/>
                <w:color w:val="000000" w:themeColor="text1"/>
                <w:szCs w:val="21"/>
                <w:highlight w:val="none"/>
                <w:u w:val="none"/>
                <w14:textFill>
                  <w14:solidFill>
                    <w14:schemeClr w14:val="tx1"/>
                  </w14:solidFill>
                </w14:textFill>
              </w:rPr>
              <w:t>日10：00</w:t>
            </w:r>
            <w:r>
              <w:rPr>
                <w:rFonts w:hint="eastAsia" w:ascii="宋体" w:hAnsi="宋体" w:cs="宋体"/>
                <w:color w:val="000000" w:themeColor="text1"/>
                <w:szCs w:val="21"/>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w:t>
            </w:r>
            <w:r>
              <w:rPr>
                <w:rFonts w:hint="eastAsia" w:ascii="宋体" w:hAnsi="宋体" w:cs="宋体"/>
                <w:color w:val="000000" w:themeColor="text1"/>
                <w:szCs w:val="21"/>
                <w:highlight w:val="none"/>
                <w:lang w:val="en-US" w:eastAsia="zh-CN"/>
                <w14:textFill>
                  <w14:solidFill>
                    <w14:schemeClr w14:val="tx1"/>
                  </w14:solidFill>
                </w14:textFill>
              </w:rPr>
              <w:t>评</w:t>
            </w:r>
            <w:r>
              <w:rPr>
                <w:rFonts w:hint="eastAsia" w:ascii="宋体" w:hAnsi="宋体" w:cs="宋体"/>
                <w:color w:val="000000" w:themeColor="text1"/>
                <w:szCs w:val="21"/>
                <w:highlight w:val="none"/>
                <w14:textFill>
                  <w14:solidFill>
                    <w14:schemeClr w14:val="tx1"/>
                  </w14:solidFill>
                </w14:textFill>
              </w:rPr>
              <w:t>标</w:t>
            </w:r>
          </w:p>
        </w:tc>
        <w:tc>
          <w:tcPr>
            <w:tcW w:w="6331" w:type="dxa"/>
            <w:tcBorders>
              <w:top w:val="single" w:color="auto" w:sz="4" w:space="0"/>
              <w:left w:val="single" w:color="auto" w:sz="4" w:space="0"/>
              <w:bottom w:val="single" w:color="auto" w:sz="4" w:space="0"/>
              <w:right w:val="single" w:color="auto" w:sz="4" w:space="0"/>
            </w:tcBorders>
            <w:vAlign w:val="center"/>
          </w:tcPr>
          <w:p>
            <w:pPr>
              <w:ind w:left="945" w:leftChars="0" w:hanging="945" w:hangingChars="450"/>
              <w:rPr>
                <w:rFonts w:ascii="宋体" w:hAnsi="宋体" w:cs="宋体"/>
                <w:color w:val="auto"/>
                <w:szCs w:val="21"/>
                <w:highlight w:val="none"/>
              </w:rPr>
            </w:pPr>
            <w:r>
              <w:rPr>
                <w:rFonts w:hint="eastAsia" w:ascii="宋体" w:hAnsi="宋体" w:cs="宋体"/>
                <w:color w:val="auto"/>
                <w:szCs w:val="21"/>
                <w:highlight w:val="none"/>
              </w:rPr>
              <w:t>开</w:t>
            </w:r>
            <w:r>
              <w:rPr>
                <w:rFonts w:hint="eastAsia" w:ascii="宋体" w:hAnsi="宋体" w:cs="宋体"/>
                <w:color w:val="auto"/>
                <w:szCs w:val="21"/>
                <w:highlight w:val="none"/>
                <w:lang w:val="en-US" w:eastAsia="zh-CN"/>
              </w:rPr>
              <w:t>评</w:t>
            </w:r>
            <w:r>
              <w:rPr>
                <w:rFonts w:hint="eastAsia" w:ascii="宋体" w:hAnsi="宋体" w:cs="宋体"/>
                <w:color w:val="auto"/>
                <w:szCs w:val="21"/>
                <w:highlight w:val="none"/>
              </w:rPr>
              <w:t>标时间：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日</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(北京时间)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开标后即评标。</w:t>
            </w:r>
            <w:r>
              <w:rPr>
                <w:rFonts w:hint="eastAsia" w:ascii="宋体" w:hAnsi="宋体" w:cs="宋体"/>
                <w:color w:val="auto"/>
                <w:szCs w:val="21"/>
                <w:highlight w:val="none"/>
              </w:rPr>
              <w:t xml:space="preserve"> </w:t>
            </w:r>
          </w:p>
          <w:p>
            <w:pPr>
              <w:ind w:left="945" w:hanging="945" w:hangingChars="450"/>
              <w:rPr>
                <w:rFonts w:hint="default" w:ascii="宋体" w:hAnsi="宋体" w:cs="宋体"/>
                <w:color w:val="000000" w:themeColor="text1"/>
                <w:w w:val="90"/>
                <w:kern w:val="44"/>
                <w:szCs w:val="21"/>
                <w:highlight w:val="none"/>
                <w:lang w:val="en-US"/>
                <w14:textFill>
                  <w14:solidFill>
                    <w14:schemeClr w14:val="tx1"/>
                  </w14:solidFill>
                </w14:textFill>
              </w:rPr>
            </w:pPr>
            <w:r>
              <w:rPr>
                <w:rFonts w:hint="eastAsia" w:ascii="宋体" w:hAnsi="宋体" w:cs="宋体"/>
                <w:color w:val="auto"/>
                <w:szCs w:val="21"/>
                <w:highlight w:val="none"/>
              </w:rPr>
              <w:t>开标地点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川投（泸州）燃气发电有限公司</w:t>
            </w:r>
            <w:r>
              <w:rPr>
                <w:rFonts w:hint="eastAsia" w:ascii="宋体" w:hAnsi="宋体" w:cs="宋体"/>
                <w:color w:val="auto"/>
                <w:szCs w:val="21"/>
                <w:highlight w:val="none"/>
                <w:lang w:val="en-US" w:eastAsia="zh-CN"/>
              </w:rPr>
              <w:t>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17</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报价</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不高于¥1</w:t>
            </w:r>
            <w:r>
              <w:rPr>
                <w:rFonts w:hint="eastAsia" w:ascii="宋体" w:hAnsi="宋体" w:cs="宋体"/>
                <w:color w:val="000000" w:themeColor="text1"/>
                <w:szCs w:val="21"/>
                <w:highlight w:val="none"/>
                <w:lang w:val="en-US" w:eastAsia="zh"/>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0,000元（含税金额）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评选方法及标准</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同</w:t>
            </w:r>
            <w:r>
              <w:rPr>
                <w:rFonts w:hint="eastAsia" w:ascii="宋体" w:hAnsi="宋体" w:cs="宋体"/>
                <w:color w:val="000000" w:themeColor="text1"/>
                <w:szCs w:val="21"/>
                <w:highlight w:val="none"/>
                <w14:textFill>
                  <w14:solidFill>
                    <w14:schemeClr w14:val="tx1"/>
                  </w14:solidFill>
                </w14:textFill>
              </w:rPr>
              <w:t>比选保证金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41"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color w:val="000000" w:themeColor="text1"/>
                <w:szCs w:val="21"/>
                <w:highlight w:val="none"/>
                <w:lang w:val="en-US" w:eastAsia="zh-CN"/>
                <w14:textFill>
                  <w14:solidFill>
                    <w14:schemeClr w14:val="tx1"/>
                  </w14:solidFill>
                </w14:textFill>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2" w:hRule="atLeast"/>
        </w:trPr>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21</w:t>
            </w:r>
          </w:p>
        </w:tc>
        <w:tc>
          <w:tcPr>
            <w:tcW w:w="20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比选人联系人及</w:t>
            </w:r>
          </w:p>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6331"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彭先生</w:t>
            </w:r>
            <w:r>
              <w:rPr>
                <w:rFonts w:hint="eastAsia" w:ascii="宋体" w:hAnsi="宋体" w:cs="宋体"/>
                <w:color w:val="000000" w:themeColor="text1"/>
                <w:szCs w:val="21"/>
                <w:highlight w:val="none"/>
                <w14:textFill>
                  <w14:solidFill>
                    <w14:schemeClr w14:val="tx1"/>
                  </w14:solidFill>
                </w14:textFill>
              </w:rPr>
              <w:t>，0830-3628</w:t>
            </w:r>
            <w:r>
              <w:rPr>
                <w:rFonts w:hint="eastAsia" w:ascii="宋体" w:hAnsi="宋体" w:cs="宋体"/>
                <w:color w:val="000000" w:themeColor="text1"/>
                <w:szCs w:val="21"/>
                <w:highlight w:val="none"/>
                <w:lang w:val="en-US" w:eastAsia="zh-CN"/>
                <w14:textFill>
                  <w14:solidFill>
                    <w14:schemeClr w14:val="tx1"/>
                  </w14:solidFill>
                </w14:textFill>
              </w:rPr>
              <w:t>192</w:t>
            </w:r>
            <w:bookmarkStart w:id="2" w:name="_GoBack"/>
            <w:bookmarkEnd w:id="2"/>
          </w:p>
        </w:tc>
      </w:tr>
    </w:tbl>
    <w:p>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第</w:t>
      </w:r>
      <w:r>
        <w:rPr>
          <w:rFonts w:hint="eastAsia" w:ascii="宋体" w:hAnsi="宋体" w:cs="宋体"/>
          <w:b/>
          <w:color w:val="000000" w:themeColor="text1"/>
          <w:sz w:val="30"/>
          <w:szCs w:val="30"/>
          <w:highlight w:val="none"/>
          <w:lang w:val="en-US" w:eastAsia="zh-CN"/>
          <w14:textFill>
            <w14:solidFill>
              <w14:schemeClr w14:val="tx1"/>
            </w14:solidFill>
          </w14:textFill>
        </w:rPr>
        <w:t>三</w:t>
      </w:r>
      <w:r>
        <w:rPr>
          <w:rFonts w:hint="eastAsia" w:ascii="宋体" w:hAnsi="宋体" w:cs="宋体"/>
          <w:b/>
          <w:color w:val="000000" w:themeColor="text1"/>
          <w:sz w:val="30"/>
          <w:szCs w:val="30"/>
          <w:highlight w:val="none"/>
          <w14:textFill>
            <w14:solidFill>
              <w14:schemeClr w14:val="tx1"/>
            </w14:solidFill>
          </w14:textFill>
        </w:rPr>
        <w:t>章 商务部分</w:t>
      </w:r>
    </w:p>
    <w:p>
      <w:pPr>
        <w:pStyle w:val="2"/>
        <w:rPr>
          <w:color w:val="000000" w:themeColor="text1"/>
          <w:highlight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164" w:beforeLines="50" w:after="0" w:line="360" w:lineRule="auto"/>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1．定  义</w:t>
      </w:r>
    </w:p>
    <w:p>
      <w:pPr>
        <w:tabs>
          <w:tab w:val="left" w:pos="756"/>
        </w:tabs>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项目：</w:t>
      </w:r>
      <w:r>
        <w:rPr>
          <w:rFonts w:hint="eastAsia" w:ascii="宋体" w:hAnsi="宋体" w:cs="宋体"/>
          <w:color w:val="000000" w:themeColor="text1"/>
          <w:sz w:val="24"/>
          <w:highlight w:val="none"/>
          <w:lang w:eastAsia="zh-CN"/>
          <w14:textFill>
            <w14:solidFill>
              <w14:schemeClr w14:val="tx1"/>
            </w14:solidFill>
          </w14:textFill>
        </w:rPr>
        <w:t>天然气管线工程危险和可操作性分析报告编制服务</w:t>
      </w:r>
      <w:r>
        <w:rPr>
          <w:rFonts w:hint="eastAsia" w:ascii="宋体" w:hAnsi="宋体" w:cs="宋体"/>
          <w:color w:val="000000" w:themeColor="text1"/>
          <w:kern w:val="24"/>
          <w:sz w:val="24"/>
          <w:highlight w:val="none"/>
          <w:lang w:val="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24"/>
          <w:sz w:val="24"/>
          <w:highlight w:val="none"/>
          <w:lang w:val="zh-CN"/>
          <w14:textFill>
            <w14:solidFill>
              <w14:schemeClr w14:val="tx1"/>
            </w14:solidFill>
          </w14:textFill>
        </w:rPr>
        <w:t>1.2比选人</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川投（</w:t>
      </w:r>
      <w:r>
        <w:rPr>
          <w:rFonts w:hint="eastAsia" w:ascii="宋体" w:hAnsi="宋体" w:eastAsia="宋体" w:cs="宋体"/>
          <w:color w:val="000000" w:themeColor="text1"/>
          <w:sz w:val="24"/>
          <w:highlight w:val="none"/>
          <w:lang w:eastAsia="zh-CN"/>
          <w14:textFill>
            <w14:solidFill>
              <w14:schemeClr w14:val="tx1"/>
            </w14:solidFill>
          </w14:textFill>
        </w:rPr>
        <w:t>泸州）</w:t>
      </w:r>
      <w:r>
        <w:rPr>
          <w:rFonts w:hint="eastAsia" w:ascii="宋体" w:hAnsi="宋体" w:eastAsia="宋体" w:cs="宋体"/>
          <w:color w:val="000000" w:themeColor="text1"/>
          <w:sz w:val="24"/>
          <w:highlight w:val="none"/>
          <w:lang w:val="en-US" w:eastAsia="zh-CN"/>
          <w14:textFill>
            <w14:solidFill>
              <w14:schemeClr w14:val="tx1"/>
            </w14:solidFill>
          </w14:textFill>
        </w:rPr>
        <w:t>燃气发电</w:t>
      </w:r>
      <w:r>
        <w:rPr>
          <w:rFonts w:hint="eastAsia" w:ascii="宋体" w:hAnsi="宋体" w:eastAsia="宋体" w:cs="宋体"/>
          <w:color w:val="000000" w:themeColor="text1"/>
          <w:sz w:val="24"/>
          <w:highlight w:val="none"/>
          <w:lang w:eastAsia="zh-CN"/>
          <w14:textFill>
            <w14:solidFill>
              <w14:schemeClr w14:val="tx1"/>
            </w14:solidFill>
          </w14:textFill>
        </w:rPr>
        <w:t>有限公司</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阶段称为甲方。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1.3比选申请人：参加比选的法人或其他组织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中选</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阶段称为乙方。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1.4中选人：被授予合同的比选申请人。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lang w:val="en-US" w:eastAsia="zh-CN"/>
          <w14:textFill>
            <w14:solidFill>
              <w14:schemeClr w14:val="tx1"/>
            </w14:solidFill>
          </w14:textFill>
        </w:rPr>
        <w:t>招标</w:t>
      </w:r>
      <w:r>
        <w:rPr>
          <w:rFonts w:hint="eastAsia" w:ascii="宋体" w:hAnsi="宋体" w:cs="宋体"/>
          <w:color w:val="000000" w:themeColor="text1"/>
          <w:sz w:val="24"/>
          <w:highlight w:val="none"/>
          <w14:textFill>
            <w14:solidFill>
              <w14:schemeClr w14:val="tx1"/>
            </w14:solidFill>
          </w14:textFill>
        </w:rPr>
        <w:t>方式：比选。</w:t>
      </w:r>
    </w:p>
    <w:p>
      <w:pPr>
        <w:numPr>
          <w:ilvl w:val="-1"/>
          <w:numId w:val="0"/>
        </w:num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2.比选</w:t>
      </w:r>
      <w:r>
        <w:rPr>
          <w:rFonts w:hint="eastAsia" w:ascii="宋体" w:hAnsi="宋体" w:cs="宋体"/>
          <w:b/>
          <w:color w:val="000000" w:themeColor="text1"/>
          <w:sz w:val="24"/>
          <w:highlight w:val="none"/>
          <w14:textFill>
            <w14:solidFill>
              <w14:schemeClr w14:val="tx1"/>
            </w14:solidFill>
          </w14:textFill>
        </w:rPr>
        <w:t>范围</w:t>
      </w:r>
    </w:p>
    <w:p>
      <w:pPr>
        <w:tabs>
          <w:tab w:val="left" w:pos="756"/>
        </w:tabs>
        <w:snapToGrid w:val="0"/>
        <w:spacing w:line="360" w:lineRule="auto"/>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详见第二章 比选技术部分</w:t>
      </w:r>
      <w:r>
        <w:rPr>
          <w:rFonts w:hint="eastAsia" w:ascii="宋体" w:hAnsi="宋体"/>
          <w:color w:val="000000" w:themeColor="text1"/>
          <w:sz w:val="24"/>
          <w:highlight w:val="none"/>
          <w:lang w:eastAsia="zh-CN"/>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 比选申请人文件的编制</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3.1比选申请人文件商务部分应提供以下内容：</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3.1.1比选申请人承诺函</w:t>
      </w:r>
    </w:p>
    <w:p>
      <w:pPr>
        <w:pStyle w:val="28"/>
        <w:spacing w:line="360" w:lineRule="auto"/>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highlight w:val="none"/>
          <w14:textFill>
            <w14:solidFill>
              <w14:schemeClr w14:val="tx1"/>
            </w14:solidFill>
          </w14:textFill>
        </w:rPr>
        <w:t>比选申请人承诺函</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很荣幸能参与</w:t>
      </w:r>
      <w:r>
        <w:rPr>
          <w:rFonts w:hint="eastAsia" w:ascii="宋体" w:hAnsi="宋体" w:cs="宋体"/>
          <w:color w:val="000000" w:themeColor="text1"/>
          <w:sz w:val="24"/>
          <w:highlight w:val="none"/>
          <w:u w:val="single"/>
          <w:lang w:eastAsia="zh-CN"/>
          <w14:textFill>
            <w14:solidFill>
              <w14:schemeClr w14:val="tx1"/>
            </w14:solidFill>
          </w14:textFill>
        </w:rPr>
        <w:t>天然气管线工程危险和可操作性分析报告编制服务</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的比选</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我代表</w:t>
      </w:r>
      <w:r>
        <w:rPr>
          <w:rFonts w:hint="eastAsia" w:ascii="宋体" w:hAnsi="宋体" w:cs="宋体"/>
          <w:color w:val="000000" w:themeColor="text1"/>
          <w:sz w:val="24"/>
          <w:highlight w:val="none"/>
          <w:u w:val="single"/>
          <w14:textFill>
            <w14:solidFill>
              <w14:schemeClr w14:val="tx1"/>
            </w14:solidFill>
          </w14:textFill>
        </w:rPr>
        <w:t xml:space="preserve">    （比选申请人名称）    </w:t>
      </w:r>
      <w:r>
        <w:rPr>
          <w:rFonts w:hint="eastAsia" w:ascii="宋体" w:hAnsi="宋体" w:cs="宋体"/>
          <w:color w:val="000000" w:themeColor="text1"/>
          <w:sz w:val="24"/>
          <w:highlight w:val="none"/>
          <w14:textFill>
            <w14:solidFill>
              <w14:schemeClr w14:val="tx1"/>
            </w14:solidFill>
          </w14:textFill>
        </w:rPr>
        <w:t>,承诺</w:t>
      </w:r>
      <w:r>
        <w:rPr>
          <w:rFonts w:hint="eastAsia" w:ascii="宋体" w:hAnsi="宋体" w:cs="宋体"/>
          <w:color w:val="000000" w:themeColor="text1"/>
          <w:sz w:val="24"/>
          <w:highlight w:val="none"/>
          <w:lang w:val="en-US" w:eastAsia="zh-CN"/>
          <w14:textFill>
            <w14:solidFill>
              <w14:schemeClr w14:val="tx1"/>
            </w14:solidFill>
          </w14:textFill>
        </w:rPr>
        <w:t>如下</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sz w:val="24"/>
          <w:highlight w:val="none"/>
          <w:lang w:val="en-US" w:eastAsia="zh-CN"/>
          <w14:textFill>
            <w14:solidFill>
              <w14:schemeClr w14:val="tx1"/>
            </w14:solidFill>
          </w14:textFill>
        </w:rPr>
        <w:t>我方</w:t>
      </w:r>
      <w:r>
        <w:rPr>
          <w:rFonts w:hint="eastAsia" w:ascii="宋体" w:hAnsi="宋体" w:cs="宋体"/>
          <w:color w:val="000000" w:themeColor="text1"/>
          <w:sz w:val="24"/>
          <w:highlight w:val="none"/>
          <w14:textFill>
            <w14:solidFill>
              <w14:schemeClr w14:val="tx1"/>
            </w14:solidFill>
          </w14:textFill>
        </w:rPr>
        <w:t>完全理解和接受比选文件的一切规定和要求。</w:t>
      </w:r>
    </w:p>
    <w:p>
      <w:pPr>
        <w:pStyle w:val="2"/>
        <w:spacing w:line="360" w:lineRule="auto"/>
        <w:ind w:firstLine="48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default" w:ascii="宋体" w:hAnsi="宋体" w:cs="宋体"/>
          <w:color w:val="000000" w:themeColor="text1"/>
          <w:sz w:val="24"/>
          <w:szCs w:val="24"/>
          <w:highlight w:val="none"/>
          <w14:textFill>
            <w14:solidFill>
              <w14:schemeClr w14:val="tx1"/>
            </w14:solidFill>
          </w14:textFill>
        </w:rPr>
        <w:t>具有</w:t>
      </w:r>
      <w:r>
        <w:rPr>
          <w:rFonts w:hint="eastAsia" w:ascii="宋体" w:hAnsi="宋体" w:cs="宋体"/>
          <w:color w:val="000000" w:themeColor="text1"/>
          <w:sz w:val="24"/>
          <w:szCs w:val="24"/>
          <w:highlight w:val="none"/>
          <w:lang w:val="en-US" w:eastAsia="zh-CN"/>
          <w14:textFill>
            <w14:solidFill>
              <w14:schemeClr w14:val="tx1"/>
            </w14:solidFill>
          </w14:textFill>
        </w:rPr>
        <w:t>与比选项目</w:t>
      </w:r>
      <w:r>
        <w:rPr>
          <w:rFonts w:hint="default" w:ascii="宋体" w:hAnsi="宋体" w:cs="宋体"/>
          <w:color w:val="000000" w:themeColor="text1"/>
          <w:sz w:val="24"/>
          <w:szCs w:val="24"/>
          <w:highlight w:val="none"/>
          <w14:textFill>
            <w14:solidFill>
              <w14:schemeClr w14:val="tx1"/>
            </w14:solidFill>
          </w14:textFill>
        </w:rPr>
        <w:t>相</w:t>
      </w:r>
      <w:r>
        <w:rPr>
          <w:rFonts w:hint="eastAsia" w:ascii="宋体" w:hAnsi="宋体" w:cs="宋体"/>
          <w:color w:val="000000" w:themeColor="text1"/>
          <w:sz w:val="24"/>
          <w:szCs w:val="24"/>
          <w:highlight w:val="none"/>
          <w:lang w:val="en-US" w:eastAsia="zh-CN"/>
          <w14:textFill>
            <w14:solidFill>
              <w14:schemeClr w14:val="tx1"/>
            </w14:solidFill>
          </w14:textFill>
        </w:rPr>
        <w:t>适应的</w:t>
      </w:r>
      <w:r>
        <w:rPr>
          <w:rFonts w:hint="default" w:ascii="宋体" w:hAnsi="宋体" w:cs="宋体"/>
          <w:color w:val="000000" w:themeColor="text1"/>
          <w:sz w:val="24"/>
          <w:szCs w:val="24"/>
          <w:highlight w:val="none"/>
          <w14:textFill>
            <w14:solidFill>
              <w14:schemeClr w14:val="tx1"/>
            </w14:solidFill>
          </w14:textFill>
        </w:rPr>
        <w:t>资质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资格、人员、业绩。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.若中标，我方将按照比选文件规定与比选人签订合同，严格履行合同义务。</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4</w:t>
      </w:r>
      <w:r>
        <w:rPr>
          <w:rFonts w:hint="eastAsia" w:ascii="宋体" w:hAnsi="宋体" w:cs="宋体"/>
          <w:color w:val="000000" w:themeColor="text1"/>
          <w:sz w:val="24"/>
          <w:highlight w:val="none"/>
          <w14:textFill>
            <w14:solidFill>
              <w14:schemeClr w14:val="tx1"/>
            </w14:solidFill>
          </w14:textFill>
        </w:rPr>
        <w:t>.比选过程中，我方若违规，贵方按</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cs="宋体"/>
          <w:color w:val="000000" w:themeColor="text1"/>
          <w:sz w:val="24"/>
          <w:highlight w:val="none"/>
          <w14:textFill>
            <w14:solidFill>
              <w14:schemeClr w14:val="tx1"/>
            </w14:solidFill>
          </w14:textFill>
        </w:rPr>
        <w:t>规定给予</w:t>
      </w:r>
      <w:r>
        <w:rPr>
          <w:rFonts w:hint="eastAsia" w:ascii="宋体" w:hAnsi="宋体" w:cs="宋体"/>
          <w:color w:val="000000" w:themeColor="text1"/>
          <w:sz w:val="24"/>
          <w:highlight w:val="none"/>
          <w:lang w:val="en-US" w:eastAsia="zh-CN"/>
          <w14:textFill>
            <w14:solidFill>
              <w14:schemeClr w14:val="tx1"/>
            </w14:solidFill>
          </w14:textFill>
        </w:rPr>
        <w:t>惩罚</w:t>
      </w:r>
      <w:r>
        <w:rPr>
          <w:rFonts w:hint="eastAsia" w:ascii="宋体" w:hAnsi="宋体" w:cs="宋体"/>
          <w:color w:val="000000" w:themeColor="text1"/>
          <w:sz w:val="24"/>
          <w:highlight w:val="none"/>
          <w14:textFill>
            <w14:solidFill>
              <w14:schemeClr w14:val="tx1"/>
            </w14:solidFill>
          </w14:textFill>
        </w:rPr>
        <w:t>，我方完全接受。</w:t>
      </w:r>
    </w:p>
    <w:p>
      <w:pPr>
        <w:tabs>
          <w:tab w:val="left" w:pos="36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我方理解不一定最低价中标，不要求</w:t>
      </w:r>
      <w:r>
        <w:rPr>
          <w:rFonts w:hint="eastAsia" w:ascii="宋体" w:hAnsi="宋体" w:cs="宋体"/>
          <w:color w:val="000000" w:themeColor="text1"/>
          <w:sz w:val="24"/>
          <w:highlight w:val="none"/>
          <w:lang w:val="en-US" w:eastAsia="zh-CN"/>
          <w14:textFill>
            <w14:solidFill>
              <w14:schemeClr w14:val="tx1"/>
            </w14:solidFill>
          </w14:textFill>
        </w:rPr>
        <w:t>比选人</w:t>
      </w:r>
      <w:r>
        <w:rPr>
          <w:rFonts w:hint="eastAsia" w:ascii="宋体" w:hAnsi="宋体" w:cs="宋体"/>
          <w:color w:val="000000" w:themeColor="text1"/>
          <w:sz w:val="24"/>
          <w:highlight w:val="none"/>
          <w14:textFill>
            <w14:solidFill>
              <w14:schemeClr w14:val="tx1"/>
            </w14:solidFill>
          </w14:textFill>
        </w:rPr>
        <w:t>对未中标</w:t>
      </w:r>
      <w:r>
        <w:rPr>
          <w:rFonts w:hint="eastAsia" w:ascii="宋体" w:hAnsi="宋体" w:cs="宋体"/>
          <w:color w:val="000000" w:themeColor="text1"/>
          <w:sz w:val="24"/>
          <w:highlight w:val="none"/>
          <w:lang w:val="en-US" w:eastAsia="zh-CN"/>
          <w14:textFill>
            <w14:solidFill>
              <w14:schemeClr w14:val="tx1"/>
            </w14:solidFill>
          </w14:textFill>
        </w:rPr>
        <w:t>原因</w:t>
      </w:r>
      <w:r>
        <w:rPr>
          <w:rFonts w:hint="eastAsia" w:ascii="宋体" w:hAnsi="宋体" w:cs="宋体"/>
          <w:color w:val="000000" w:themeColor="text1"/>
          <w:sz w:val="24"/>
          <w:highlight w:val="none"/>
          <w14:textFill>
            <w14:solidFill>
              <w14:schemeClr w14:val="tx1"/>
            </w14:solidFill>
          </w14:textFill>
        </w:rPr>
        <w:t>做出任何解释。</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3.1.2比选申请人法定代表人授权书</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（授权人姓名）</w:t>
      </w:r>
      <w:r>
        <w:rPr>
          <w:rFonts w:hint="eastAsia" w:ascii="宋体" w:hAnsi="宋体" w:cs="宋体"/>
          <w:color w:val="000000" w:themeColor="text1"/>
          <w:sz w:val="24"/>
          <w:highlight w:val="none"/>
          <w14:textFill>
            <w14:solidFill>
              <w14:schemeClr w14:val="tx1"/>
            </w14:solidFill>
          </w14:textFill>
        </w:rPr>
        <w:t>授权</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（被授权人姓名）</w:t>
      </w:r>
      <w:r>
        <w:rPr>
          <w:rFonts w:hint="eastAsia" w:ascii="宋体" w:hAnsi="宋体" w:cs="宋体"/>
          <w:color w:val="000000" w:themeColor="text1"/>
          <w:sz w:val="24"/>
          <w:highlight w:val="none"/>
          <w14:textFill>
            <w14:solidFill>
              <w14:schemeClr w14:val="tx1"/>
            </w14:solidFill>
          </w14:textFill>
        </w:rPr>
        <w:t>代表我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全权办理</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投</w:t>
      </w:r>
      <w:r>
        <w:rPr>
          <w:rFonts w:hint="eastAsia" w:ascii="宋体" w:hAnsi="宋体" w:cs="宋体"/>
          <w:color w:val="000000" w:themeColor="text1"/>
          <w:sz w:val="24"/>
          <w:highlight w:val="none"/>
          <w14:textFill>
            <w14:solidFill>
              <w14:schemeClr w14:val="tx1"/>
            </w14:solidFill>
          </w14:textFill>
        </w:rPr>
        <w:t>选工作。我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对被授权人的签名负全部责任。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lang w:val="en-US" w:eastAsia="zh-CN"/>
          <w14:textFill>
            <w14:solidFill>
              <w14:schemeClr w14:val="tx1"/>
            </w14:solidFill>
          </w14:textFill>
        </w:rPr>
        <w:t>及联系电话</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lang w:val="en-US" w:eastAsia="zh-CN"/>
          <w14:textFill>
            <w14:solidFill>
              <w14:schemeClr w14:val="tx1"/>
            </w14:solidFill>
          </w14:textFill>
        </w:rPr>
        <w:t>及联系电话</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8"/>
        <w:adjustRightInd/>
        <w:spacing w:line="360" w:lineRule="auto"/>
        <w:jc w:val="both"/>
        <w:rPr>
          <w:rFonts w:hAnsi="宋体" w:cs="宋体"/>
          <w:color w:val="000000" w:themeColor="text1"/>
          <w:kern w:val="2"/>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w:t>
      </w:r>
      <w:r>
        <w:rPr>
          <w:rFonts w:hint="eastAsia" w:hAnsi="宋体" w:cs="宋体"/>
          <w:color w:val="000000" w:themeColor="text1"/>
          <w:kern w:val="2"/>
          <w:highlight w:val="none"/>
          <w14:textFill>
            <w14:solidFill>
              <w14:schemeClr w14:val="tx1"/>
            </w14:solidFill>
          </w14:textFill>
        </w:rPr>
        <w:t>比选申请人关于资格的声明函</w:t>
      </w:r>
    </w:p>
    <w:p>
      <w:pPr>
        <w:pStyle w:val="28"/>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szCs w:val="24"/>
          <w:highlight w:val="none"/>
          <w14:textFill>
            <w14:solidFill>
              <w14:schemeClr w14:val="tx1"/>
            </w14:solidFill>
          </w14:textFill>
        </w:rPr>
        <w:t>比选申请人关于资格的声明</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我公司愿意</w:t>
      </w:r>
      <w:r>
        <w:rPr>
          <w:rFonts w:hint="eastAsia" w:ascii="宋体" w:hAnsi="宋体" w:cs="宋体"/>
          <w:color w:val="000000" w:themeColor="text1"/>
          <w:sz w:val="24"/>
          <w:highlight w:val="none"/>
          <w:lang w:val="en-US" w:eastAsia="zh-CN"/>
          <w14:textFill>
            <w14:solidFill>
              <w14:schemeClr w14:val="tx1"/>
            </w14:solidFill>
          </w14:textFill>
        </w:rPr>
        <w:t>参加</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u w:val="single"/>
          <w:lang w:val="en-US" w:eastAsia="zh-CN"/>
          <w14:textFill>
            <w14:solidFill>
              <w14:schemeClr w14:val="tx1"/>
            </w14:solidFill>
          </w14:textFill>
        </w:rPr>
        <w:t>名称）</w:t>
      </w:r>
      <w:r>
        <w:rPr>
          <w:rFonts w:hint="eastAsia" w:ascii="宋体" w:hAnsi="宋体" w:cs="宋体"/>
          <w:color w:val="000000" w:themeColor="text1"/>
          <w:sz w:val="24"/>
          <w:highlight w:val="none"/>
          <w:lang w:val="en-US" w:eastAsia="zh-CN"/>
          <w14:textFill>
            <w14:solidFill>
              <w14:schemeClr w14:val="tx1"/>
            </w14:solidFill>
          </w14:textFill>
        </w:rPr>
        <w:t>的投</w:t>
      </w:r>
      <w:r>
        <w:rPr>
          <w:rFonts w:hint="eastAsia" w:ascii="宋体" w:hAnsi="宋体" w:cs="宋体"/>
          <w:color w:val="000000" w:themeColor="text1"/>
          <w:sz w:val="24"/>
          <w:highlight w:val="none"/>
          <w14:textFill>
            <w14:solidFill>
              <w14:schemeClr w14:val="tx1"/>
            </w14:solidFill>
          </w14:textFill>
        </w:rPr>
        <w:t>选。比选</w:t>
      </w:r>
      <w:r>
        <w:rPr>
          <w:rFonts w:hint="eastAsia" w:ascii="宋体" w:hAnsi="宋体" w:cs="宋体"/>
          <w:color w:val="000000" w:themeColor="text1"/>
          <w:sz w:val="24"/>
          <w:highlight w:val="none"/>
          <w:lang w:val="en-US" w:eastAsia="zh-CN"/>
          <w14:textFill>
            <w14:solidFill>
              <w14:schemeClr w14:val="tx1"/>
            </w14:solidFill>
          </w14:textFill>
        </w:rPr>
        <w:t>申请</w:t>
      </w:r>
      <w:r>
        <w:rPr>
          <w:rFonts w:hint="eastAsia" w:ascii="宋体" w:hAnsi="宋体" w:cs="宋体"/>
          <w:color w:val="000000" w:themeColor="text1"/>
          <w:sz w:val="24"/>
          <w:highlight w:val="none"/>
          <w14:textFill>
            <w14:solidFill>
              <w14:schemeClr w14:val="tx1"/>
            </w14:solidFill>
          </w14:textFill>
        </w:rPr>
        <w:t>文件中所有关于比选申请人资格文件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陈述均真实、准确。若有违背，我公司愿为由此而产生的一切后果负责。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特此声明！</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3.1.4</w:t>
      </w:r>
      <w:r>
        <w:rPr>
          <w:rFonts w:hint="eastAsia" w:ascii="宋体" w:hAnsi="宋体" w:cs="宋体"/>
          <w:bCs/>
          <w:color w:val="000000" w:themeColor="text1"/>
          <w:sz w:val="24"/>
          <w:highlight w:val="none"/>
          <w14:textFill>
            <w14:solidFill>
              <w14:schemeClr w14:val="tx1"/>
            </w14:solidFill>
          </w14:textFill>
        </w:rPr>
        <w:t>比选申请人资格证明文件</w:t>
      </w:r>
    </w:p>
    <w:p>
      <w:pPr>
        <w:jc w:val="center"/>
        <w:rPr>
          <w:rFonts w:ascii="宋体" w:hAnsi="宋体" w:cs="宋体"/>
          <w:b/>
          <w:bCs/>
          <w:color w:val="000000" w:themeColor="text1"/>
          <w:sz w:val="24"/>
          <w:highlight w:val="none"/>
          <w14:textFill>
            <w14:solidFill>
              <w14:schemeClr w14:val="tx1"/>
            </w14:solidFill>
          </w14:textFill>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比选申请人资格</w:t>
      </w:r>
      <w:r>
        <w:rPr>
          <w:rFonts w:hint="eastAsia" w:ascii="宋体" w:hAnsi="宋体" w:cs="宋体"/>
          <w:b/>
          <w:bCs/>
          <w:color w:val="auto"/>
          <w:sz w:val="24"/>
          <w:highlight w:val="none"/>
          <w:lang w:val="en-US" w:eastAsia="zh-CN"/>
        </w:rPr>
        <w:t>证明</w:t>
      </w:r>
      <w:r>
        <w:rPr>
          <w:rFonts w:hint="eastAsia" w:ascii="宋体" w:hAnsi="宋体" w:cs="宋体"/>
          <w:b/>
          <w:bCs/>
          <w:color w:val="auto"/>
          <w:sz w:val="24"/>
          <w:highlight w:val="none"/>
        </w:rPr>
        <w:t>文件</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比选申请人为法人</w:t>
      </w:r>
      <w:r>
        <w:rPr>
          <w:rFonts w:hint="eastAsia" w:ascii="宋体" w:hAnsi="宋体" w:cs="宋体"/>
          <w:color w:val="auto"/>
          <w:sz w:val="24"/>
          <w:highlight w:val="none"/>
          <w:lang w:val="en-US" w:eastAsia="zh-CN"/>
        </w:rPr>
        <w:t>或其他组织</w:t>
      </w:r>
      <w:r>
        <w:rPr>
          <w:rFonts w:hint="eastAsia" w:ascii="宋体" w:hAnsi="宋体" w:cs="宋体"/>
          <w:color w:val="auto"/>
          <w:sz w:val="24"/>
          <w:highlight w:val="none"/>
        </w:rPr>
        <w:t>并存续，且未被市场监管部门列入经营异常名录；</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2.营业执照、</w:t>
      </w:r>
      <w:r>
        <w:rPr>
          <w:rFonts w:hint="eastAsia" w:ascii="宋体" w:hAnsi="宋体" w:cs="宋体"/>
          <w:color w:val="auto"/>
          <w:sz w:val="24"/>
          <w:highlight w:val="none"/>
        </w:rPr>
        <w:t>资质证书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业绩证明文件</w:t>
      </w:r>
      <w:r>
        <w:rPr>
          <w:rFonts w:hint="eastAsia" w:ascii="宋体" w:hAnsi="宋体" w:cs="宋体"/>
          <w:color w:val="auto"/>
          <w:sz w:val="24"/>
          <w:highlight w:val="none"/>
        </w:rPr>
        <w:t>等；</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3.2比选申请文件技术部分应</w:t>
      </w:r>
      <w:r>
        <w:rPr>
          <w:rFonts w:hint="eastAsia" w:ascii="宋体" w:hAnsi="宋体" w:cs="宋体"/>
          <w:b/>
          <w:color w:val="auto"/>
          <w:sz w:val="24"/>
          <w:highlight w:val="none"/>
          <w:lang w:val="en-US" w:eastAsia="zh-CN"/>
        </w:rPr>
        <w:t>根据技术规范书要求进行编制。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3.3.比选报价</w:t>
      </w:r>
    </w:p>
    <w:tbl>
      <w:tblPr>
        <w:tblStyle w:val="21"/>
        <w:tblpPr w:leftFromText="180" w:rightFromText="180" w:vertAnchor="text" w:horzAnchor="page" w:tblpX="1432" w:tblpY="165"/>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306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159" w:type="dxa"/>
            <w:noWrap w:val="0"/>
            <w:vAlign w:val="center"/>
          </w:tcPr>
          <w:p>
            <w:pPr>
              <w:jc w:val="both"/>
              <w:rPr>
                <w:rFonts w:hint="eastAsia" w:ascii="Times New Roman" w:hAnsi="Times New Roman" w:eastAsia="宋体" w:cs="Times New Roman"/>
                <w:b/>
                <w:kern w:val="2"/>
                <w:sz w:val="21"/>
                <w:szCs w:val="24"/>
                <w:highlight w:val="none"/>
                <w:lang w:val="en-US" w:eastAsia="zh-CN" w:bidi="ar-SA"/>
              </w:rPr>
            </w:pPr>
            <w:r>
              <w:rPr>
                <w:rFonts w:hint="eastAsia"/>
                <w:b/>
                <w:highlight w:val="none"/>
              </w:rPr>
              <w:t>项目名称</w:t>
            </w:r>
          </w:p>
        </w:tc>
        <w:tc>
          <w:tcPr>
            <w:tcW w:w="3066" w:type="dxa"/>
            <w:noWrap w:val="0"/>
            <w:vAlign w:val="center"/>
          </w:tcPr>
          <w:p>
            <w:pPr>
              <w:jc w:val="center"/>
              <w:rPr>
                <w:rFonts w:hint="eastAsia"/>
                <w:b/>
                <w:highlight w:val="none"/>
              </w:rPr>
            </w:pPr>
          </w:p>
          <w:p>
            <w:pPr>
              <w:jc w:val="center"/>
              <w:rPr>
                <w:rFonts w:hint="default" w:eastAsia="宋体"/>
                <w:b/>
                <w:highlight w:val="none"/>
                <w:lang w:val="en-US" w:eastAsia="zh-CN"/>
              </w:rPr>
            </w:pPr>
            <w:r>
              <w:rPr>
                <w:rFonts w:hint="eastAsia"/>
                <w:b/>
                <w:highlight w:val="none"/>
              </w:rPr>
              <w:t>报价</w:t>
            </w:r>
            <w:r>
              <w:rPr>
                <w:rFonts w:hint="eastAsia"/>
                <w:b/>
                <w:highlight w:val="none"/>
                <w:lang w:eastAsia="zh-CN"/>
              </w:rPr>
              <w:t>（</w:t>
            </w:r>
            <w:r>
              <w:rPr>
                <w:rFonts w:hint="eastAsia"/>
                <w:b/>
                <w:highlight w:val="none"/>
                <w:lang w:val="en-US" w:eastAsia="zh-CN"/>
              </w:rPr>
              <w:t>元）</w:t>
            </w:r>
          </w:p>
          <w:p>
            <w:pPr>
              <w:jc w:val="center"/>
              <w:rPr>
                <w:rFonts w:hint="eastAsia" w:ascii="Times New Roman" w:hAnsi="Times New Roman" w:eastAsia="宋体" w:cs="Times New Roman"/>
                <w:b/>
                <w:kern w:val="2"/>
                <w:sz w:val="21"/>
                <w:szCs w:val="24"/>
                <w:highlight w:val="none"/>
                <w:lang w:val="en-US" w:eastAsia="zh-CN" w:bidi="ar-SA"/>
              </w:rPr>
            </w:pPr>
          </w:p>
        </w:tc>
        <w:tc>
          <w:tcPr>
            <w:tcW w:w="2074" w:type="dxa"/>
            <w:noWrap w:val="0"/>
            <w:vAlign w:val="center"/>
          </w:tcPr>
          <w:p>
            <w:pPr>
              <w:jc w:val="both"/>
              <w:rPr>
                <w:rFonts w:hint="eastAsia" w:ascii="Times New Roman" w:hAnsi="Times New Roman" w:eastAsia="宋体" w:cs="Times New Roman"/>
                <w:b/>
                <w:kern w:val="2"/>
                <w:sz w:val="21"/>
                <w:szCs w:val="24"/>
                <w:highlight w:val="none"/>
                <w:lang w:val="en-US" w:eastAsia="zh-CN" w:bidi="ar-SA"/>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159" w:type="dxa"/>
            <w:noWrap w:val="0"/>
            <w:vAlign w:val="center"/>
          </w:tcPr>
          <w:p>
            <w:pPr>
              <w:jc w:val="center"/>
              <w:rPr>
                <w:rFonts w:hint="default" w:ascii="Times New Roman" w:hAnsi="Times New Roman" w:eastAsia="宋体" w:cs="Times New Roman"/>
                <w:b/>
                <w:kern w:val="2"/>
                <w:sz w:val="21"/>
                <w:szCs w:val="24"/>
                <w:highlight w:val="none"/>
                <w:lang w:val="en-US" w:eastAsia="zh-CN" w:bidi="ar-SA"/>
              </w:rPr>
            </w:pPr>
            <w:r>
              <w:rPr>
                <w:rFonts w:hint="eastAsia"/>
                <w:b/>
                <w:highlight w:val="none"/>
                <w:lang w:val="en-US" w:eastAsia="zh-CN"/>
              </w:rPr>
              <w:t>川投泸州天然气发电项目天然气管线工程危险和可操作性分析报告编制服务</w:t>
            </w:r>
          </w:p>
        </w:tc>
        <w:tc>
          <w:tcPr>
            <w:tcW w:w="3066" w:type="dxa"/>
            <w:noWrap w:val="0"/>
            <w:vAlign w:val="center"/>
          </w:tcPr>
          <w:p>
            <w:pPr>
              <w:jc w:val="center"/>
              <w:rPr>
                <w:rFonts w:hint="default" w:ascii="Times New Roman" w:hAnsi="Times New Roman" w:eastAsia="宋体" w:cs="Times New Roman"/>
                <w:b/>
                <w:kern w:val="2"/>
                <w:sz w:val="21"/>
                <w:szCs w:val="24"/>
                <w:highlight w:val="none"/>
                <w:lang w:val="en-US" w:eastAsia="zh-CN" w:bidi="ar-SA"/>
              </w:rPr>
            </w:pPr>
          </w:p>
        </w:tc>
        <w:tc>
          <w:tcPr>
            <w:tcW w:w="2074" w:type="dxa"/>
            <w:noWrap w:val="0"/>
            <w:vAlign w:val="center"/>
          </w:tcPr>
          <w:p>
            <w:pPr>
              <w:jc w:val="center"/>
              <w:rPr>
                <w:rFonts w:hint="default" w:ascii="Times New Roman" w:hAnsi="Times New Roman" w:eastAsia="宋体" w:cs="Times New Roman"/>
                <w:b/>
                <w:kern w:val="2"/>
                <w:sz w:val="21"/>
                <w:szCs w:val="24"/>
                <w:highlight w:val="none"/>
                <w:lang w:val="en-US" w:eastAsia="zh-CN" w:bidi="ar-SA"/>
              </w:rPr>
            </w:pPr>
            <w:r>
              <w:rPr>
                <w:rFonts w:hint="eastAsia"/>
                <w:b/>
                <w:highlight w:val="none"/>
                <w:lang w:val="en-US" w:eastAsia="zh-CN"/>
              </w:rPr>
              <w:t>含</w:t>
            </w:r>
            <w:r>
              <w:rPr>
                <w:rFonts w:hint="eastAsia"/>
                <w:b/>
                <w:highlight w:val="none"/>
              </w:rPr>
              <w:t>税率：</w:t>
            </w:r>
            <w:r>
              <w:rPr>
                <w:rFonts w:hint="eastAsia"/>
                <w:b/>
                <w:highlight w:val="none"/>
                <w:u w:val="single"/>
              </w:rPr>
              <w:t xml:space="preserve">     </w:t>
            </w:r>
            <w:r>
              <w:rPr>
                <w:rFonts w:hint="eastAsia"/>
                <w:b/>
                <w:highlight w:val="none"/>
                <w:u w:val="none"/>
                <w:lang w:val="en-US" w:eastAsia="zh-CN"/>
              </w:rPr>
              <w:t>%</w:t>
            </w:r>
          </w:p>
        </w:tc>
      </w:tr>
    </w:tbl>
    <w:p>
      <w:pPr>
        <w:spacing w:line="360" w:lineRule="auto"/>
        <w:jc w:val="both"/>
        <w:rPr>
          <w:rFonts w:hint="eastAsia" w:ascii="宋体" w:hAnsi="宋体" w:cs="宋体"/>
          <w:b w:val="0"/>
          <w:bCs/>
          <w:color w:val="000000" w:themeColor="text1"/>
          <w:sz w:val="24"/>
          <w:highlight w:val="none"/>
          <w14:textFill>
            <w14:solidFill>
              <w14:schemeClr w14:val="tx1"/>
            </w14:solidFill>
          </w14:textFill>
        </w:rPr>
      </w:pPr>
    </w:p>
    <w:p>
      <w:pPr>
        <w:spacing w:line="360" w:lineRule="auto"/>
        <w:jc w:val="both"/>
        <w:rPr>
          <w:rFonts w:hint="eastAsia" w:ascii="宋体" w:hAnsi="宋体" w:cs="宋体"/>
          <w:color w:val="auto"/>
          <w:sz w:val="24"/>
          <w:highlight w:val="none"/>
        </w:rPr>
      </w:pPr>
      <w:r>
        <w:rPr>
          <w:rFonts w:hint="eastAsia" w:ascii="宋体" w:hAnsi="宋体" w:cs="宋体"/>
          <w:b w:val="0"/>
          <w:bCs/>
          <w:color w:val="000000" w:themeColor="text1"/>
          <w:sz w:val="24"/>
          <w:highlight w:val="none"/>
          <w14:textFill>
            <w14:solidFill>
              <w14:schemeClr w14:val="tx1"/>
            </w14:solidFill>
          </w14:textFill>
        </w:rPr>
        <w:t>说明：</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报价包含完成技术规范书</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所有</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工作内容。</w:t>
      </w:r>
    </w:p>
    <w:p>
      <w:pPr>
        <w:spacing w:line="360" w:lineRule="auto"/>
        <w:ind w:firstLine="1920" w:firstLineChars="800"/>
        <w:rPr>
          <w:rFonts w:hint="eastAsia" w:ascii="宋体" w:hAnsi="宋体" w:cs="宋体"/>
          <w:color w:val="auto"/>
          <w:sz w:val="24"/>
          <w:highlight w:val="none"/>
          <w:lang w:val="en-US" w:eastAsia="zh-CN"/>
        </w:rPr>
      </w:pPr>
      <w:r>
        <w:rPr>
          <w:rFonts w:hint="eastAsia" w:ascii="宋体" w:hAnsi="宋体" w:cs="宋体"/>
          <w:color w:val="auto"/>
          <w:sz w:val="24"/>
          <w:highlight w:val="none"/>
        </w:rPr>
        <w:t>法定代表人或其授权人（签字）</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p>
    <w:p>
      <w:pPr>
        <w:spacing w:line="360" w:lineRule="auto"/>
        <w:ind w:firstLine="1920" w:firstLineChars="80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联系电话：</w:t>
      </w:r>
    </w:p>
    <w:p>
      <w:pPr>
        <w:spacing w:line="360" w:lineRule="auto"/>
        <w:ind w:firstLine="1920" w:firstLineChars="800"/>
        <w:rPr>
          <w:rFonts w:ascii="宋体" w:hAnsi="宋体" w:cs="宋体"/>
          <w:color w:val="auto"/>
          <w:sz w:val="24"/>
          <w:highlight w:val="none"/>
        </w:rPr>
      </w:pPr>
      <w:r>
        <w:rPr>
          <w:rFonts w:hint="eastAsia" w:ascii="宋体" w:hAnsi="宋体" w:cs="宋体"/>
          <w:color w:val="auto"/>
          <w:sz w:val="24"/>
          <w:highlight w:val="none"/>
          <w:lang w:val="en-US" w:eastAsia="zh-CN"/>
        </w:rPr>
        <w:t>报价单位</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全</w:t>
      </w:r>
      <w:r>
        <w:rPr>
          <w:rFonts w:hint="eastAsia" w:ascii="宋体" w:hAnsi="宋体" w:cs="宋体"/>
          <w:color w:val="auto"/>
          <w:sz w:val="24"/>
          <w:highlight w:val="none"/>
        </w:rPr>
        <w:t>称</w:t>
      </w:r>
      <w:r>
        <w:rPr>
          <w:rFonts w:hint="eastAsia" w:ascii="宋体" w:hAnsi="宋体" w:cs="宋体"/>
          <w:color w:val="auto"/>
          <w:sz w:val="24"/>
          <w:highlight w:val="none"/>
          <w:lang w:eastAsia="zh-CN"/>
        </w:rPr>
        <w:t>，</w:t>
      </w:r>
      <w:r>
        <w:rPr>
          <w:rFonts w:hint="eastAsia" w:ascii="宋体" w:hAnsi="宋体" w:cs="宋体"/>
          <w:color w:val="auto"/>
          <w:sz w:val="24"/>
          <w:highlight w:val="none"/>
        </w:rPr>
        <w:t>公章）</w:t>
      </w:r>
      <w:r>
        <w:rPr>
          <w:rFonts w:hint="eastAsia" w:ascii="宋体" w:hAnsi="宋体" w:cs="宋体"/>
          <w:color w:val="auto"/>
          <w:sz w:val="24"/>
          <w:highlight w:val="none"/>
          <w:lang w:eastAsia="zh-CN"/>
        </w:rPr>
        <w:t>：</w:t>
      </w:r>
    </w:p>
    <w:p>
      <w:pPr>
        <w:spacing w:line="360" w:lineRule="auto"/>
        <w:ind w:firstLine="1920" w:firstLineChars="800"/>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bookmarkStart w:id="1" w:name="_Toc230662931"/>
      <w:r>
        <w:rPr>
          <w:rFonts w:hint="eastAsia" w:ascii="宋体" w:hAnsi="宋体" w:cs="宋体"/>
          <w:b/>
          <w:color w:val="000000" w:themeColor="text1"/>
          <w:sz w:val="24"/>
          <w:highlight w:val="none"/>
          <w14:textFill>
            <w14:solidFill>
              <w14:schemeClr w14:val="tx1"/>
            </w14:solidFill>
          </w14:textFill>
        </w:rPr>
        <w:t>．</w:t>
      </w:r>
      <w:bookmarkEnd w:id="1"/>
      <w:r>
        <w:rPr>
          <w:rFonts w:hint="eastAsia" w:ascii="宋体" w:hAnsi="宋体" w:cs="宋体"/>
          <w:b/>
          <w:color w:val="000000" w:themeColor="text1"/>
          <w:sz w:val="24"/>
          <w:highlight w:val="none"/>
          <w14:textFill>
            <w14:solidFill>
              <w14:schemeClr w14:val="tx1"/>
            </w14:solidFill>
          </w14:textFill>
        </w:rPr>
        <w:t>比选申请人</w:t>
      </w:r>
      <w:r>
        <w:rPr>
          <w:rFonts w:hint="eastAsia" w:ascii="宋体" w:hAnsi="宋体" w:cs="宋体"/>
          <w:b/>
          <w:color w:val="000000" w:themeColor="text1"/>
          <w:sz w:val="24"/>
          <w:highlight w:val="none"/>
          <w:lang w:val="en-US" w:eastAsia="zh-CN"/>
          <w14:textFill>
            <w14:solidFill>
              <w14:schemeClr w14:val="tx1"/>
            </w14:solidFill>
          </w14:textFill>
        </w:rPr>
        <w:t>的资格资质业绩要求</w:t>
      </w:r>
    </w:p>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t>比选申请人为法人</w:t>
      </w:r>
      <w:r>
        <w:rPr>
          <w:rFonts w:hint="eastAsia" w:ascii="宋体" w:hAnsi="宋体" w:cs="宋体"/>
          <w:color w:val="000000" w:themeColor="text1"/>
          <w:sz w:val="24"/>
          <w:highlight w:val="none"/>
          <w:lang w:val="en-US" w:eastAsia="zh-CN"/>
          <w14:textFill>
            <w14:solidFill>
              <w14:schemeClr w14:val="tx1"/>
            </w14:solidFill>
          </w14:textFill>
        </w:rPr>
        <w:t>或其他组织</w:t>
      </w:r>
      <w:r>
        <w:rPr>
          <w:rFonts w:hint="eastAsia" w:ascii="宋体" w:hAnsi="宋体" w:cs="宋体"/>
          <w:color w:val="000000" w:themeColor="text1"/>
          <w:sz w:val="24"/>
          <w:highlight w:val="none"/>
          <w14:textFill>
            <w14:solidFill>
              <w14:schemeClr w14:val="tx1"/>
            </w14:solidFill>
          </w14:textFill>
        </w:rPr>
        <w:t>且未被市场监管部门列入经营异常名录</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比选申请人</w:t>
      </w:r>
      <w:r>
        <w:rPr>
          <w:rFonts w:hint="eastAsia" w:ascii="宋体" w:hAnsi="宋体" w:cs="宋体"/>
          <w:color w:val="000000" w:themeColor="text1"/>
          <w:sz w:val="24"/>
          <w:highlight w:val="none"/>
          <w:lang w:val="en-US" w:eastAsia="zh"/>
          <w14:textFill>
            <w14:solidFill>
              <w14:schemeClr w14:val="tx1"/>
            </w14:solidFill>
          </w14:textFill>
        </w:rPr>
        <w:t>省级以上</w:t>
      </w:r>
      <w:r>
        <w:rPr>
          <w:rFonts w:hint="eastAsia" w:ascii="宋体" w:hAnsi="宋体" w:cs="宋体"/>
          <w:color w:val="000000" w:themeColor="text1"/>
          <w:sz w:val="24"/>
          <w:highlight w:val="none"/>
          <w:lang w:val="en-US" w:eastAsia="zh-CN"/>
          <w14:textFill>
            <w14:solidFill>
              <w14:schemeClr w14:val="tx1"/>
            </w14:solidFill>
          </w14:textFill>
        </w:rPr>
        <w:t>（哈省级）</w:t>
      </w:r>
      <w:r>
        <w:rPr>
          <w:rFonts w:hint="eastAsia" w:ascii="宋体" w:hAnsi="宋体" w:cs="宋体"/>
          <w:color w:val="000000" w:themeColor="text1"/>
          <w:sz w:val="24"/>
          <w:highlight w:val="none"/>
          <w:lang w:val="en-US" w:eastAsia="zh"/>
          <w14:textFill>
            <w14:solidFill>
              <w14:schemeClr w14:val="tx1"/>
            </w14:solidFill>
          </w14:textFill>
        </w:rPr>
        <w:t>应急管理部门颁发的安全评价机构资质（范围覆盖油气管道运输）</w:t>
      </w:r>
      <w:r>
        <w:rPr>
          <w:rFonts w:hint="eastAsia" w:ascii="宋体" w:hAnsi="宋体" w:cs="宋体"/>
          <w:color w:val="000000" w:themeColor="text1"/>
          <w:sz w:val="24"/>
          <w:highlight w:val="none"/>
          <w:lang w:val="en-US" w:eastAsia="zh-CN"/>
          <w14:textFill>
            <w14:solidFill>
              <w14:schemeClr w14:val="tx1"/>
            </w14:solidFill>
          </w14:textFill>
        </w:rPr>
        <w:t>。</w:t>
      </w:r>
    </w:p>
    <w:p>
      <w:pPr>
        <w:spacing w:line="360" w:lineRule="auto"/>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比选申请人近</w:t>
      </w:r>
      <w:r>
        <w:rPr>
          <w:rFonts w:hint="eastAsia" w:ascii="宋体" w:hAnsi="宋体" w:cs="宋体"/>
          <w:color w:val="000000" w:themeColor="text1"/>
          <w:sz w:val="24"/>
          <w:highlight w:val="none"/>
          <w:lang w:eastAsia="zh"/>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年开展业绩不低于</w:t>
      </w:r>
      <w:r>
        <w:rPr>
          <w:rFonts w:hint="eastAsia" w:ascii="宋体" w:hAnsi="宋体" w:cs="宋体"/>
          <w:color w:val="000000" w:themeColor="text1"/>
          <w:sz w:val="24"/>
          <w:highlight w:val="none"/>
          <w:lang w:eastAsia="zh"/>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个</w:t>
      </w:r>
      <w:r>
        <w:rPr>
          <w:rFonts w:hint="eastAsia" w:ascii="宋体" w:hAnsi="宋体" w:cs="宋体"/>
          <w:color w:val="000000" w:themeColor="text1"/>
          <w:sz w:val="24"/>
          <w:highlight w:val="none"/>
          <w:lang w:eastAsia="zh"/>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提供合同扫描件，合同扫描件应包括封面、签字页及能显示项目名称和内容部分</w:t>
      </w:r>
      <w:r>
        <w:rPr>
          <w:rFonts w:hint="eastAsia" w:ascii="宋体" w:hAnsi="宋体" w:cs="宋体"/>
          <w:color w:val="000000" w:themeColor="text1"/>
          <w:sz w:val="24"/>
          <w:highlight w:val="none"/>
          <w:lang w:eastAsia="zh"/>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4.4比选申请人报价不得高于人民币1</w:t>
      </w:r>
      <w:r>
        <w:rPr>
          <w:rFonts w:hint="eastAsia" w:ascii="宋体" w:hAnsi="宋体" w:cs="宋体"/>
          <w:color w:val="000000" w:themeColor="text1"/>
          <w:sz w:val="24"/>
          <w:highlight w:val="none"/>
          <w:lang w:val="en-US" w:eastAsia="zh"/>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0,000（含税）。</w:t>
      </w:r>
    </w:p>
    <w:p>
      <w:pPr>
        <w:snapToGrid w:val="0"/>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比选保证金</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若有</w:t>
      </w:r>
      <w:r>
        <w:rPr>
          <w:rFonts w:hint="eastAsia" w:ascii="宋体" w:hAnsi="宋体" w:cs="宋体"/>
          <w:b/>
          <w:color w:val="000000" w:themeColor="text1"/>
          <w:sz w:val="24"/>
          <w:highlight w:val="none"/>
          <w:lang w:eastAsia="zh-CN"/>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在中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人签订合同后14日内退还未中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保证金。</w:t>
      </w:r>
    </w:p>
    <w:p>
      <w:pPr>
        <w:pStyle w:val="26"/>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en-US" w:eastAsia="zh-CN"/>
          <w14:textFill>
            <w14:solidFill>
              <w14:schemeClr w14:val="tx1"/>
            </w14:solidFill>
          </w14:textFill>
        </w:rPr>
        <w:t>通过银行转账提交投选证金的，比选申请</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须</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附表并与比选申请文件单独递交</w:t>
      </w:r>
      <w:r>
        <w:rPr>
          <w:rFonts w:hint="eastAsia" w:ascii="宋体" w:hAnsi="宋体" w:cs="宋体"/>
          <w:color w:val="000000" w:themeColor="text1"/>
          <w:sz w:val="24"/>
          <w:highlight w:val="none"/>
          <w14:textFill>
            <w14:solidFill>
              <w14:schemeClr w14:val="tx1"/>
            </w14:solidFill>
          </w14:textFill>
        </w:rPr>
        <w:t>。</w:t>
      </w:r>
    </w:p>
    <w:p>
      <w:pPr>
        <w:pStyle w:val="26"/>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5.2提交保函投比选证金的，比选申请人须准确</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与比选申请文件一并递交，由比选人退还其保函原件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附表：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4"/>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全称，盖章</w:t>
            </w:r>
            <w:r>
              <w:rPr>
                <w:rFonts w:hint="eastAsia" w:ascii="宋体" w:hAnsi="宋体" w:cs="宋体"/>
                <w:color w:val="000000" w:themeColor="text1"/>
                <w:sz w:val="24"/>
                <w:highlight w:val="none"/>
                <w:lang w:eastAsia="zh-CN"/>
                <w14:textFill>
                  <w14:solidFill>
                    <w14:schemeClr w14:val="tx1"/>
                  </w14:solidFill>
                </w14:textFill>
              </w:rPr>
              <w:t>）</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及电话</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营业（办公）</w:t>
            </w:r>
            <w:r>
              <w:rPr>
                <w:rFonts w:hint="eastAsia" w:ascii="宋体" w:hAnsi="宋体" w:cs="宋体"/>
                <w:color w:val="000000" w:themeColor="text1"/>
                <w:sz w:val="24"/>
                <w:highlight w:val="none"/>
                <w14:textFill>
                  <w14:solidFill>
                    <w14:schemeClr w14:val="tx1"/>
                  </w14:solidFill>
                </w14:textFill>
              </w:rPr>
              <w:t>地址</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w:t>
            </w:r>
            <w:r>
              <w:rPr>
                <w:rFonts w:hint="eastAsia" w:ascii="宋体" w:hAnsi="宋体" w:cs="宋体"/>
                <w:color w:val="000000" w:themeColor="text1"/>
                <w:sz w:val="24"/>
                <w:highlight w:val="none"/>
                <w:lang w:val="en-US" w:eastAsia="zh-CN"/>
                <w14:textFill>
                  <w14:solidFill>
                    <w14:schemeClr w14:val="tx1"/>
                  </w14:solidFill>
                </w14:textFill>
              </w:rPr>
              <w:t>名称</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w:t>
            </w:r>
            <w:r>
              <w:rPr>
                <w:rFonts w:hint="eastAsia" w:ascii="宋体" w:hAnsi="宋体" w:cs="宋体"/>
                <w:color w:val="000000" w:themeColor="text1"/>
                <w:sz w:val="24"/>
                <w:highlight w:val="none"/>
                <w14:textFill>
                  <w14:solidFill>
                    <w14:schemeClr w14:val="tx1"/>
                  </w14:solidFill>
                </w14:textFill>
              </w:rPr>
              <w:t>银行</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64" w:beforeLines="50" w:line="360" w:lineRule="auto"/>
        <w:ind w:firstLine="0" w:firstLineChars="0"/>
        <w:textAlignment w:val="auto"/>
        <w:rPr>
          <w:rFonts w:ascii="宋体" w:hAnsi="宋体" w:cs="宋体"/>
          <w:b/>
          <w:bCs/>
          <w:color w:val="auto"/>
          <w:sz w:val="24"/>
          <w:highlight w:val="none"/>
        </w:rPr>
      </w:pPr>
      <w:r>
        <w:rPr>
          <w:rFonts w:hint="eastAsia" w:ascii="宋体" w:hAnsi="宋体" w:cs="宋体"/>
          <w:b/>
          <w:bCs/>
          <w:color w:val="000000" w:themeColor="text1"/>
          <w:sz w:val="24"/>
          <w:highlight w:val="none"/>
          <w14:textFill>
            <w14:solidFill>
              <w14:schemeClr w14:val="tx1"/>
            </w14:solidFill>
          </w14:textFill>
        </w:rPr>
        <w:t>6.</w:t>
      </w:r>
      <w:r>
        <w:rPr>
          <w:rFonts w:hint="eastAsia" w:ascii="宋体" w:hAnsi="宋体" w:cs="宋体"/>
          <w:b/>
          <w:bCs/>
          <w:color w:val="auto"/>
          <w:sz w:val="24"/>
          <w:highlight w:val="none"/>
        </w:rPr>
        <w:t>合同价款</w:t>
      </w:r>
    </w:p>
    <w:p>
      <w:pPr>
        <w:pStyle w:val="12"/>
        <w:adjustRightInd w:val="0"/>
        <w:snapToGrid w:val="0"/>
        <w:spacing w:line="360" w:lineRule="auto"/>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合同签订时确定。</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en-GB"/>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付款方式</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本合同</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val="zh-CN"/>
        </w:rPr>
        <w:t xml:space="preserve">预付款；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2乙方完成合同范围内的工作，甲方已收到乙方开具的增值税专用发票，甲方向乙方支付服务费。</w:t>
      </w:r>
    </w:p>
    <w:p>
      <w:pPr>
        <w:numPr>
          <w:ilvl w:val="0"/>
          <w:numId w:val="2"/>
        </w:numPr>
        <w:spacing w:line="360" w:lineRule="auto"/>
        <w:ind w:leftChars="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评审办法</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1.评审机构及成员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1.1本项目成立评审小组。评审工作由评审小组负责。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评审小组共5人,由比选人的技术、经济专家组成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监督人员</w:t>
      </w:r>
      <w:r>
        <w:rPr>
          <w:rFonts w:hint="eastAsia" w:ascii="宋体" w:hAnsi="宋体" w:cs="宋体"/>
          <w:color w:val="000000" w:themeColor="text1"/>
          <w:sz w:val="24"/>
          <w:highlight w:val="none"/>
          <w14:textFill>
            <w14:solidFill>
              <w14:schemeClr w14:val="tx1"/>
            </w14:solidFill>
          </w14:textFill>
        </w:rPr>
        <w:t>1人。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2.评审程序和内容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阅读比选书及有关资料。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对证明具备比选资格的原始文件的复印件（包括营业执照、</w:t>
      </w:r>
      <w:r>
        <w:rPr>
          <w:rFonts w:hint="eastAsia" w:ascii="宋体" w:hAnsi="宋体" w:cs="宋体"/>
          <w:color w:val="000000" w:themeColor="text1"/>
          <w:sz w:val="24"/>
          <w:highlight w:val="none"/>
          <w:lang w:val="en-US" w:eastAsia="zh-CN"/>
          <w14:textFill>
            <w14:solidFill>
              <w14:schemeClr w14:val="tx1"/>
            </w14:solidFill>
          </w14:textFill>
        </w:rPr>
        <w:t>资质证书、</w:t>
      </w:r>
      <w:r>
        <w:rPr>
          <w:rFonts w:hint="eastAsia" w:ascii="宋体" w:hAnsi="宋体" w:cs="宋体"/>
          <w:color w:val="000000" w:themeColor="text1"/>
          <w:sz w:val="24"/>
          <w:highlight w:val="none"/>
          <w14:textFill>
            <w14:solidFill>
              <w14:schemeClr w14:val="tx1"/>
            </w14:solidFill>
          </w14:textFill>
        </w:rPr>
        <w:t>银行资信证明等）、授权委托书等进行评估。</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比选申请人文件澄清</w:t>
      </w:r>
    </w:p>
    <w:p>
      <w:pPr>
        <w:spacing w:line="360" w:lineRule="auto"/>
        <w:ind w:firstLine="480"/>
      </w:pPr>
      <w:r>
        <w:rPr>
          <w:rFonts w:hint="eastAsia" w:ascii="宋体" w:hAnsi="宋体" w:cs="宋体"/>
          <w:color w:val="000000" w:themeColor="text1"/>
          <w:sz w:val="24"/>
          <w:highlight w:val="none"/>
          <w14:textFill>
            <w14:solidFill>
              <w14:schemeClr w14:val="tx1"/>
            </w14:solidFill>
          </w14:textFill>
        </w:rPr>
        <w:t>在必要时，为有助于比选申请人文件的审查、评价和比较，评审小组可以对比选申请人文件有疑问或不清楚的地方进行书面澄清，比选申请人接到评审小组书面澄清问题后，以书面形式将澄清回复传真给监审组，监审组再转交评审小组。比选申请人传真的澄清回复应有法定代表人或被授权代表人签字，澄清问题回复作为比选申请人文件的组成部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综合评价与比较</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评审应依据评审原则、评审办法，对比选文件进行详细评审，合理评定打分，统计排序。</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编制评审报告</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评审小组完成评审后，应编写评审报告。</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 评审打分办法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在所有评委对每个比选申请人的每一单项评分中，取评委打分的算术平均值作为该比选申请人的单项得分；计分保留至小数点后两位，小数点后第三位四舍五入。</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技术评分细则（满分100分，权重0.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技术评分表</w:t>
      </w:r>
    </w:p>
    <w:tbl>
      <w:tblPr>
        <w:tblStyle w:val="21"/>
        <w:tblpPr w:leftFromText="180" w:rightFromText="180" w:vertAnchor="text" w:horzAnchor="page" w:tblpX="1608" w:tblpY="151"/>
        <w:tblOverlap w:val="never"/>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20"/>
        <w:gridCol w:w="595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86" w:type="dxa"/>
            <w:noWrap w:val="0"/>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20" w:type="dxa"/>
            <w:noWrap w:val="0"/>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959" w:type="dxa"/>
            <w:noWrap w:val="0"/>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评分依据</w:t>
            </w:r>
          </w:p>
        </w:tc>
        <w:tc>
          <w:tcPr>
            <w:tcW w:w="1033" w:type="dxa"/>
            <w:noWrap w:val="0"/>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686"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2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职业资格</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 w:bidi="ar-SA"/>
              </w:rPr>
              <w:t>单位具有安全评价资质证书（范围覆盖管道运输）得10分，没有不得分。</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en-US" w:eastAsia="zh"/>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trPr>
        <w:tc>
          <w:tcPr>
            <w:tcW w:w="68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c>
          <w:tcPr>
            <w:tcW w:w="122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类似业绩</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近</w:t>
            </w:r>
            <w:r>
              <w:rPr>
                <w:rFonts w:hint="eastAsia" w:ascii="宋体" w:hAnsi="宋体" w:cs="宋体"/>
                <w:color w:val="auto"/>
                <w:sz w:val="24"/>
                <w:highlight w:val="none"/>
                <w:lang w:val="en-US" w:eastAsia="zh"/>
              </w:rPr>
              <w:t>三</w:t>
            </w:r>
            <w:r>
              <w:rPr>
                <w:rFonts w:hint="eastAsia" w:ascii="宋体" w:hAnsi="宋体" w:cs="宋体"/>
                <w:color w:val="auto"/>
                <w:sz w:val="24"/>
                <w:highlight w:val="none"/>
                <w:lang w:val="en-US" w:eastAsia="zh-CN"/>
              </w:rPr>
              <w:t>年</w:t>
            </w:r>
            <w:r>
              <w:rPr>
                <w:rFonts w:hint="eastAsia" w:ascii="宋体" w:hAnsi="宋体" w:eastAsia="宋体" w:cs="宋体"/>
                <w:bCs/>
                <w:color w:val="auto"/>
                <w:sz w:val="24"/>
                <w:szCs w:val="24"/>
                <w:highlight w:val="none"/>
                <w:lang w:val="en-US" w:eastAsia="zh-CN"/>
              </w:rPr>
              <w:t>已完成</w:t>
            </w:r>
            <w:r>
              <w:rPr>
                <w:rFonts w:hint="eastAsia" w:ascii="宋体" w:hAnsi="宋体" w:cs="宋体"/>
                <w:bCs/>
                <w:color w:val="auto"/>
                <w:sz w:val="24"/>
                <w:szCs w:val="24"/>
                <w:highlight w:val="none"/>
                <w:lang w:val="en-US" w:eastAsia="zh"/>
              </w:rPr>
              <w:t>1</w:t>
            </w:r>
            <w:r>
              <w:rPr>
                <w:rFonts w:hint="eastAsia" w:ascii="宋体" w:hAnsi="宋体" w:eastAsia="宋体" w:cs="宋体"/>
                <w:bCs/>
                <w:color w:val="auto"/>
                <w:sz w:val="24"/>
                <w:szCs w:val="24"/>
                <w:highlight w:val="none"/>
                <w:lang w:val="en-US" w:eastAsia="zh-CN"/>
              </w:rPr>
              <w:t>个</w:t>
            </w:r>
            <w:r>
              <w:rPr>
                <w:rFonts w:hint="eastAsia" w:ascii="宋体" w:hAnsi="宋体" w:eastAsia="宋体" w:cs="宋体"/>
                <w:bCs/>
                <w:color w:val="auto"/>
                <w:sz w:val="24"/>
                <w:szCs w:val="24"/>
                <w:highlight w:val="none"/>
              </w:rPr>
              <w:t>项目</w:t>
            </w:r>
            <w:r>
              <w:rPr>
                <w:rFonts w:hint="eastAsia" w:ascii="宋体" w:hAnsi="宋体" w:cs="宋体"/>
                <w:bCs/>
                <w:color w:val="auto"/>
                <w:sz w:val="24"/>
                <w:szCs w:val="24"/>
                <w:highlight w:val="none"/>
                <w:lang w:val="en-US" w:eastAsia="zh-CN"/>
              </w:rPr>
              <w:t>HAZOP分析</w:t>
            </w:r>
            <w:r>
              <w:rPr>
                <w:rFonts w:hint="eastAsia" w:ascii="宋体" w:hAnsi="宋体" w:eastAsia="宋体" w:cs="宋体"/>
                <w:bCs/>
                <w:color w:val="auto"/>
                <w:sz w:val="24"/>
                <w:szCs w:val="24"/>
                <w:highlight w:val="none"/>
              </w:rPr>
              <w:t>的工程</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工作</w:t>
            </w:r>
            <w:r>
              <w:rPr>
                <w:rFonts w:hint="eastAsia" w:ascii="宋体" w:hAnsi="宋体" w:eastAsia="宋体" w:cs="宋体"/>
                <w:bCs/>
                <w:color w:val="auto"/>
                <w:sz w:val="24"/>
                <w:szCs w:val="24"/>
                <w:highlight w:val="none"/>
                <w:lang w:val="en-US" w:eastAsia="zh-CN"/>
              </w:rPr>
              <w:t>业绩，</w:t>
            </w:r>
            <w:r>
              <w:rPr>
                <w:rFonts w:hint="eastAsia" w:ascii="宋体" w:hAnsi="宋体" w:eastAsia="宋体" w:cs="宋体"/>
                <w:color w:val="auto"/>
                <w:sz w:val="24"/>
                <w:highlight w:val="none"/>
                <w:lang w:eastAsia="zh-CN"/>
              </w:rPr>
              <w:t>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每多</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个业绩</w:t>
            </w:r>
            <w:r>
              <w:rPr>
                <w:rFonts w:hint="eastAsia" w:ascii="宋体" w:hAnsi="宋体" w:cs="宋体"/>
                <w:bCs/>
                <w:color w:val="auto"/>
                <w:sz w:val="24"/>
                <w:szCs w:val="24"/>
                <w:highlight w:val="none"/>
                <w:lang w:val="en-US" w:eastAsia="zh-CN"/>
              </w:rPr>
              <w:t>加</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最</w:t>
            </w:r>
            <w:r>
              <w:rPr>
                <w:rFonts w:hint="eastAsia" w:ascii="宋体" w:hAnsi="宋体" w:eastAsia="宋体" w:cs="宋体"/>
                <w:color w:val="auto"/>
                <w:sz w:val="24"/>
                <w:highlight w:val="none"/>
                <w:lang w:val="en-US" w:eastAsia="zh-CN"/>
              </w:rPr>
              <w:t>高</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p>
            <w:pPr>
              <w:widowControl/>
              <w:numPr>
                <w:ilvl w:val="0"/>
                <w:numId w:val="0"/>
              </w:num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hAnsi="宋体" w:cs="宋体"/>
                <w:kern w:val="2"/>
                <w:sz w:val="24"/>
                <w:szCs w:val="24"/>
              </w:rPr>
              <w:t>企业</w:t>
            </w:r>
            <w:r>
              <w:rPr>
                <w:rFonts w:hint="eastAsia" w:hAnsi="宋体" w:cs="宋体"/>
                <w:kern w:val="2"/>
                <w:sz w:val="24"/>
                <w:szCs w:val="24"/>
                <w:lang w:val="en-US" w:eastAsia="zh-CN"/>
              </w:rPr>
              <w:t>取得</w:t>
            </w:r>
            <w:r>
              <w:rPr>
                <w:rFonts w:hint="eastAsia" w:hAnsi="宋体" w:cs="宋体"/>
                <w:kern w:val="2"/>
                <w:sz w:val="24"/>
                <w:szCs w:val="24"/>
              </w:rPr>
              <w:t>质量体系、职业健康安全管理体系、环境管理体系认证</w:t>
            </w:r>
            <w:r>
              <w:rPr>
                <w:rFonts w:hint="eastAsia" w:hAnsi="宋体" w:cs="宋体"/>
                <w:kern w:val="2"/>
                <w:sz w:val="24"/>
                <w:szCs w:val="24"/>
                <w:lang w:eastAsia="zh-CN"/>
              </w:rPr>
              <w:t>，</w:t>
            </w:r>
            <w:r>
              <w:rPr>
                <w:rFonts w:hint="eastAsia" w:hAnsi="宋体" w:cs="宋体"/>
                <w:kern w:val="2"/>
                <w:sz w:val="24"/>
                <w:szCs w:val="24"/>
                <w:lang w:val="en-US" w:eastAsia="zh-CN"/>
              </w:rPr>
              <w:t>每取得一项得2分。</w:t>
            </w:r>
            <w:r>
              <w:rPr>
                <w:rFonts w:hint="eastAsia" w:ascii="宋体" w:hAnsi="宋体" w:eastAsia="宋体" w:cs="宋体"/>
                <w:color w:val="auto"/>
                <w:sz w:val="24"/>
                <w:highlight w:val="none"/>
                <w:lang w:val="en-US" w:eastAsia="zh-CN"/>
              </w:rPr>
              <w:t>最多得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pPr>
              <w:widowControl/>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业绩证明为合同扫描件加盖公章，</w:t>
            </w:r>
            <w:r>
              <w:rPr>
                <w:rFonts w:hint="eastAsia" w:ascii="宋体" w:hAnsi="宋体" w:eastAsia="宋体" w:cs="宋体"/>
                <w:color w:val="auto"/>
                <w:sz w:val="24"/>
                <w:highlight w:val="none"/>
              </w:rPr>
              <w:t>应包括封面</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rPr>
              <w:t>能显示项目名称和内容</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否则将不得分</w:t>
            </w:r>
            <w:r>
              <w:rPr>
                <w:rFonts w:hint="eastAsia" w:ascii="宋体" w:hAnsi="宋体" w:eastAsia="宋体" w:cs="宋体"/>
                <w:color w:val="auto"/>
                <w:sz w:val="24"/>
                <w:highlight w:val="none"/>
                <w:lang w:val="en-US" w:eastAsia="zh-CN"/>
              </w:rPr>
              <w:t>；</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68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122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拟投入本项目</w:t>
            </w:r>
            <w:r>
              <w:rPr>
                <w:rFonts w:hint="eastAsia" w:ascii="宋体" w:hAnsi="宋体" w:eastAsia="宋体" w:cs="宋体"/>
                <w:bCs/>
                <w:color w:val="auto"/>
                <w:sz w:val="24"/>
                <w:szCs w:val="24"/>
                <w:highlight w:val="none"/>
              </w:rPr>
              <w:t>人力资源配置</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1、项目负责人（</w:t>
            </w:r>
            <w:r>
              <w:rPr>
                <w:rFonts w:hint="eastAsia" w:ascii="宋体" w:hAnsi="宋体" w:cs="宋体"/>
                <w:bCs/>
                <w:color w:val="auto"/>
                <w:sz w:val="24"/>
                <w:szCs w:val="24"/>
                <w:highlight w:val="none"/>
                <w:lang w:eastAsia="zh"/>
              </w:rPr>
              <w:t>8</w:t>
            </w:r>
            <w:r>
              <w:rPr>
                <w:rFonts w:hint="eastAsia" w:ascii="宋体" w:hAnsi="宋体" w:eastAsia="宋体" w:cs="宋体"/>
                <w:bCs/>
                <w:color w:val="auto"/>
                <w:sz w:val="24"/>
                <w:szCs w:val="24"/>
                <w:highlight w:val="none"/>
              </w:rPr>
              <w:t>分）</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rPr>
              <w:t>高级工程师</w:t>
            </w:r>
            <w:r>
              <w:rPr>
                <w:rFonts w:hint="eastAsia" w:ascii="宋体" w:hAnsi="宋体" w:eastAsia="宋体" w:cs="宋体"/>
                <w:bCs/>
                <w:color w:val="auto"/>
                <w:sz w:val="24"/>
                <w:szCs w:val="24"/>
                <w:highlight w:val="none"/>
                <w:lang w:val="en-US" w:eastAsia="zh-CN"/>
              </w:rPr>
              <w:t>及以上</w:t>
            </w:r>
            <w:r>
              <w:rPr>
                <w:rFonts w:hint="eastAsia" w:ascii="宋体" w:hAnsi="宋体" w:cs="宋体"/>
                <w:bCs/>
                <w:color w:val="auto"/>
                <w:sz w:val="24"/>
                <w:szCs w:val="24"/>
                <w:highlight w:val="none"/>
                <w:lang w:val="en-US" w:eastAsia="zh-CN"/>
              </w:rPr>
              <w:t>并取得HAZOP/SIL技术机构人员培训合格证书</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eastAsia="zh"/>
              </w:rPr>
              <w:t>8</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val="en-US" w:eastAsia="zh-CN"/>
              </w:rPr>
              <w:t>具有中</w:t>
            </w:r>
            <w:r>
              <w:rPr>
                <w:rFonts w:hint="eastAsia" w:ascii="宋体" w:hAnsi="宋体" w:eastAsia="宋体" w:cs="宋体"/>
                <w:bCs/>
                <w:color w:val="auto"/>
                <w:sz w:val="24"/>
                <w:szCs w:val="24"/>
                <w:highlight w:val="none"/>
              </w:rPr>
              <w:t>级</w:t>
            </w:r>
            <w:r>
              <w:rPr>
                <w:rFonts w:hint="eastAsia" w:ascii="宋体" w:hAnsi="宋体" w:cs="宋体"/>
                <w:bCs/>
                <w:color w:val="auto"/>
                <w:sz w:val="24"/>
                <w:szCs w:val="24"/>
                <w:highlight w:val="none"/>
                <w:lang w:val="en-US" w:eastAsia="zh-CN"/>
              </w:rPr>
              <w:t>职称</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并取得</w:t>
            </w:r>
            <w:r>
              <w:rPr>
                <w:rFonts w:hint="eastAsia" w:ascii="宋体" w:hAnsi="宋体" w:cs="宋体"/>
                <w:bCs/>
                <w:color w:val="auto"/>
                <w:sz w:val="24"/>
                <w:szCs w:val="24"/>
                <w:highlight w:val="none"/>
                <w:lang w:val="en-US" w:eastAsia="zh"/>
              </w:rPr>
              <w:t>H</w:t>
            </w:r>
            <w:r>
              <w:rPr>
                <w:rFonts w:hint="eastAsia" w:ascii="宋体" w:hAnsi="宋体" w:cs="宋体"/>
                <w:bCs/>
                <w:color w:val="auto"/>
                <w:sz w:val="24"/>
                <w:szCs w:val="24"/>
                <w:highlight w:val="none"/>
                <w:lang w:val="en-US" w:eastAsia="zh-CN"/>
              </w:rPr>
              <w:t>AZOP/SIL技术机构人员培训合格证书</w:t>
            </w:r>
            <w:r>
              <w:rPr>
                <w:rFonts w:hint="eastAsia" w:ascii="宋体" w:hAnsi="宋体" w:cs="宋体"/>
                <w:bCs/>
                <w:color w:val="auto"/>
                <w:sz w:val="24"/>
                <w:szCs w:val="24"/>
                <w:highlight w:val="none"/>
                <w:lang w:val="en-US" w:eastAsia="zh"/>
              </w:rPr>
              <w:t>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其他得0分</w:t>
            </w:r>
            <w:r>
              <w:rPr>
                <w:rFonts w:hint="eastAsia" w:ascii="宋体" w:hAnsi="宋体" w:eastAsia="宋体" w:cs="宋体"/>
                <w:bCs/>
                <w:color w:val="auto"/>
                <w:sz w:val="24"/>
                <w:szCs w:val="24"/>
                <w:highlight w:val="none"/>
                <w:lang w:eastAsia="zh-CN"/>
              </w:rPr>
              <w:t>。</w:t>
            </w:r>
          </w:p>
          <w:p>
            <w:pPr>
              <w:numPr>
                <w:ilvl w:val="0"/>
                <w:numId w:val="3"/>
              </w:numPr>
              <w:spacing w:after="0"/>
              <w:rPr>
                <w:rFonts w:hint="eastAsia" w:ascii="宋体" w:hAnsi="宋体" w:eastAsia="宋体" w:cs="宋体"/>
                <w:color w:val="auto"/>
                <w:sz w:val="24"/>
              </w:rPr>
            </w:pPr>
            <w:r>
              <w:rPr>
                <w:rFonts w:hint="eastAsia" w:ascii="宋体" w:hAnsi="宋体" w:eastAsia="宋体" w:cs="宋体"/>
                <w:b w:val="0"/>
                <w:bCs/>
                <w:color w:val="auto"/>
                <w:sz w:val="24"/>
                <w:szCs w:val="24"/>
                <w:highlight w:val="none"/>
              </w:rPr>
              <w:t>项目部管理机构配置（</w:t>
            </w:r>
            <w:r>
              <w:rPr>
                <w:rFonts w:hint="eastAsia" w:ascii="宋体" w:hAnsi="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
              </w:rPr>
              <w:t>2</w:t>
            </w:r>
            <w:r>
              <w:rPr>
                <w:rFonts w:hint="eastAsia" w:ascii="宋体" w:hAnsi="宋体" w:eastAsia="宋体" w:cs="宋体"/>
                <w:b w:val="0"/>
                <w:bCs/>
                <w:color w:val="auto"/>
                <w:sz w:val="24"/>
                <w:szCs w:val="24"/>
                <w:highlight w:val="none"/>
              </w:rPr>
              <w:t>分）</w:t>
            </w:r>
          </w:p>
          <w:p>
            <w:pPr>
              <w:numPr>
                <w:ilvl w:val="0"/>
                <w:numId w:val="4"/>
              </w:numP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项目管理人员配置不合理。（0分）</w:t>
            </w:r>
          </w:p>
          <w:p>
            <w:pPr>
              <w:numPr>
                <w:ilvl w:val="0"/>
                <w:numId w:val="4"/>
              </w:numP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项目管理人员配置基本合理（1-7分）；</w:t>
            </w:r>
          </w:p>
          <w:p>
            <w:pPr>
              <w:rPr>
                <w:rFonts w:hint="eastAsia" w:ascii="宋体" w:hAnsi="宋体" w:eastAsia="宋体" w:cs="宋体"/>
                <w:color w:val="auto"/>
                <w:sz w:val="24"/>
                <w:szCs w:val="24"/>
                <w:highlight w:val="none"/>
                <w:lang w:val="en-US"/>
              </w:rPr>
            </w:pPr>
            <w:r>
              <w:rPr>
                <w:rFonts w:hint="eastAsia" w:ascii="宋体" w:hAnsi="宋体" w:cs="宋体"/>
                <w:bCs/>
                <w:color w:val="auto"/>
                <w:sz w:val="24"/>
                <w:szCs w:val="24"/>
                <w:highlight w:val="none"/>
                <w:lang w:val="en-US" w:eastAsia="zh-CN"/>
              </w:rPr>
              <w:t>c.项目管理人员配置针对工程实际且合理（8-1</w:t>
            </w:r>
            <w:r>
              <w:rPr>
                <w:rFonts w:hint="eastAsia" w:ascii="宋体" w:hAnsi="宋体" w:cs="宋体"/>
                <w:bCs/>
                <w:color w:val="auto"/>
                <w:sz w:val="24"/>
                <w:szCs w:val="24"/>
                <w:highlight w:val="none"/>
                <w:lang w:val="en-US" w:eastAsia="zh"/>
              </w:rPr>
              <w:t>2</w:t>
            </w:r>
            <w:r>
              <w:rPr>
                <w:rFonts w:hint="eastAsia" w:ascii="宋体" w:hAnsi="宋体" w:cs="宋体"/>
                <w:bCs/>
                <w:color w:val="auto"/>
                <w:sz w:val="24"/>
                <w:szCs w:val="24"/>
                <w:highlight w:val="none"/>
                <w:lang w:val="en-US" w:eastAsia="zh-CN"/>
              </w:rPr>
              <w:t>分）。</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
              </w:rPr>
            </w:pPr>
            <w:r>
              <w:rPr>
                <w:rFonts w:hint="eastAsia" w:ascii="宋体" w:hAnsi="宋体" w:cs="宋体"/>
                <w:color w:val="auto"/>
                <w:sz w:val="24"/>
                <w:highlight w:val="none"/>
                <w:lang w:val="en-US" w:eastAsia="zh"/>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trPr>
        <w:tc>
          <w:tcPr>
            <w:tcW w:w="68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122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组织方案</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auto"/>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组织方案内容一般，符合国家相关规范、规定要求，措施针对性一般、可操作性一般。</w:t>
            </w:r>
            <w:r>
              <w:rPr>
                <w:rFonts w:hint="eastAsia" w:ascii="宋体" w:hAnsi="宋体" w:cs="宋体"/>
                <w:bCs w:val="0"/>
                <w:color w:val="auto"/>
                <w:sz w:val="24"/>
                <w:szCs w:val="24"/>
                <w:highlight w:val="none"/>
                <w:lang w:val="en-US" w:eastAsia="zh-CN"/>
              </w:rPr>
              <w:t xml:space="preserve">         </w:t>
            </w:r>
            <w:r>
              <w:rPr>
                <w:rFonts w:hint="eastAsia" w:ascii="宋体" w:hAnsi="宋体" w:eastAsia="宋体" w:cs="宋体"/>
                <w:bCs w:val="0"/>
                <w:color w:val="auto"/>
                <w:sz w:val="24"/>
                <w:szCs w:val="24"/>
                <w:highlight w:val="none"/>
                <w:lang w:val="en-US" w:eastAsia="zh-CN"/>
              </w:rPr>
              <w:t>（1-</w:t>
            </w:r>
            <w:r>
              <w:rPr>
                <w:rFonts w:hint="eastAsia" w:ascii="宋体" w:hAnsi="宋体" w:cs="宋体"/>
                <w:bCs w:val="0"/>
                <w:color w:val="auto"/>
                <w:sz w:val="24"/>
                <w:szCs w:val="24"/>
                <w:highlight w:val="none"/>
                <w:lang w:val="en-US" w:eastAsia="zh"/>
              </w:rPr>
              <w:t>5</w:t>
            </w:r>
            <w:r>
              <w:rPr>
                <w:rFonts w:hint="eastAsia" w:ascii="宋体" w:hAnsi="宋体" w:eastAsia="宋体" w:cs="宋体"/>
                <w:bCs w:val="0"/>
                <w:color w:val="auto"/>
                <w:sz w:val="24"/>
                <w:szCs w:val="24"/>
                <w:highlight w:val="none"/>
                <w:lang w:val="en-US" w:eastAsia="zh-CN"/>
              </w:rPr>
              <w:t xml:space="preserve">分）                      </w:t>
            </w:r>
          </w:p>
          <w:p>
            <w:pPr>
              <w:widowControl/>
              <w:numPr>
                <w:ilvl w:val="0"/>
                <w:numId w:val="0"/>
              </w:numPr>
              <w:spacing w:line="240" w:lineRule="auto"/>
              <w:jc w:val="left"/>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组织方案内容较完整，符合国家相关规范、规定要求，措施针对性较强、可操作性较强。</w:t>
            </w:r>
            <w:r>
              <w:rPr>
                <w:rFonts w:hint="eastAsia" w:ascii="宋体" w:hAnsi="宋体" w:cs="宋体"/>
                <w:bCs w:val="0"/>
                <w:color w:val="auto"/>
                <w:sz w:val="24"/>
                <w:szCs w:val="24"/>
                <w:highlight w:val="none"/>
                <w:lang w:val="en-US" w:eastAsia="zh-CN"/>
              </w:rPr>
              <w:t xml:space="preserve">      </w:t>
            </w:r>
            <w:r>
              <w:rPr>
                <w:rFonts w:hint="eastAsia" w:ascii="宋体" w:hAnsi="宋体" w:eastAsia="宋体" w:cs="宋体"/>
                <w:bCs w:val="0"/>
                <w:color w:val="auto"/>
                <w:sz w:val="24"/>
                <w:szCs w:val="24"/>
                <w:highlight w:val="none"/>
                <w:lang w:val="en-US" w:eastAsia="zh-CN"/>
              </w:rPr>
              <w:t>（</w:t>
            </w:r>
            <w:r>
              <w:rPr>
                <w:rFonts w:hint="eastAsia" w:ascii="宋体" w:hAnsi="宋体" w:cs="宋体"/>
                <w:bCs w:val="0"/>
                <w:color w:val="auto"/>
                <w:sz w:val="24"/>
                <w:szCs w:val="24"/>
                <w:highlight w:val="none"/>
                <w:lang w:val="en-US" w:eastAsia="zh"/>
              </w:rPr>
              <w:t>6</w:t>
            </w:r>
            <w:r>
              <w:rPr>
                <w:rFonts w:hint="eastAsia" w:ascii="宋体" w:hAnsi="宋体" w:eastAsia="宋体" w:cs="宋体"/>
                <w:bCs w:val="0"/>
                <w:color w:val="auto"/>
                <w:sz w:val="24"/>
                <w:szCs w:val="24"/>
                <w:highlight w:val="none"/>
                <w:lang w:val="en-US" w:eastAsia="zh-CN"/>
              </w:rPr>
              <w:t>-</w:t>
            </w:r>
            <w:r>
              <w:rPr>
                <w:rFonts w:hint="eastAsia" w:ascii="宋体" w:hAnsi="宋体" w:cs="宋体"/>
                <w:bCs w:val="0"/>
                <w:color w:val="auto"/>
                <w:sz w:val="24"/>
                <w:szCs w:val="24"/>
                <w:highlight w:val="none"/>
                <w:lang w:val="en-US" w:eastAsia="zh-CN"/>
              </w:rPr>
              <w:t>1</w:t>
            </w:r>
            <w:r>
              <w:rPr>
                <w:rFonts w:hint="eastAsia" w:ascii="宋体" w:hAnsi="宋体" w:cs="宋体"/>
                <w:bCs w:val="0"/>
                <w:color w:val="auto"/>
                <w:sz w:val="24"/>
                <w:szCs w:val="24"/>
                <w:highlight w:val="none"/>
                <w:lang w:val="en-US" w:eastAsia="zh"/>
              </w:rPr>
              <w:t>0</w:t>
            </w:r>
            <w:r>
              <w:rPr>
                <w:rFonts w:hint="eastAsia" w:ascii="宋体" w:hAnsi="宋体" w:eastAsia="宋体" w:cs="宋体"/>
                <w:bCs w:val="0"/>
                <w:color w:val="auto"/>
                <w:sz w:val="24"/>
                <w:szCs w:val="24"/>
                <w:highlight w:val="none"/>
                <w:lang w:val="en-US" w:eastAsia="zh-CN"/>
              </w:rPr>
              <w:t xml:space="preserve">分）                    </w:t>
            </w:r>
          </w:p>
          <w:p>
            <w:pPr>
              <w:widowControl/>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组织方案内容完整，符合国家相关规范、规定要求，措施针对性强、可操作性强。</w:t>
            </w:r>
            <w:r>
              <w:rPr>
                <w:rFonts w:hint="eastAsia" w:ascii="宋体" w:hAnsi="宋体" w:cs="宋体"/>
                <w:bCs w:val="0"/>
                <w:color w:val="auto"/>
                <w:sz w:val="24"/>
                <w:szCs w:val="24"/>
                <w:highlight w:val="none"/>
                <w:lang w:val="en-US" w:eastAsia="zh-CN"/>
              </w:rPr>
              <w:t xml:space="preserve">            </w:t>
            </w:r>
            <w:r>
              <w:rPr>
                <w:rFonts w:hint="eastAsia" w:ascii="宋体" w:hAnsi="宋体" w:eastAsia="宋体" w:cs="宋体"/>
                <w:bCs w:val="0"/>
                <w:color w:val="auto"/>
                <w:sz w:val="24"/>
                <w:szCs w:val="24"/>
                <w:highlight w:val="none"/>
                <w:lang w:val="en-US" w:eastAsia="zh-CN"/>
              </w:rPr>
              <w:t>（</w:t>
            </w:r>
            <w:r>
              <w:rPr>
                <w:rFonts w:hint="eastAsia" w:ascii="宋体" w:hAnsi="宋体" w:cs="宋体"/>
                <w:bCs w:val="0"/>
                <w:color w:val="auto"/>
                <w:sz w:val="24"/>
                <w:szCs w:val="24"/>
                <w:highlight w:val="none"/>
                <w:lang w:val="en-US" w:eastAsia="zh-CN"/>
              </w:rPr>
              <w:t>1</w:t>
            </w:r>
            <w:r>
              <w:rPr>
                <w:rFonts w:hint="eastAsia" w:ascii="宋体" w:hAnsi="宋体" w:cs="宋体"/>
                <w:bCs w:val="0"/>
                <w:color w:val="auto"/>
                <w:sz w:val="24"/>
                <w:szCs w:val="24"/>
                <w:highlight w:val="none"/>
                <w:lang w:val="en-US" w:eastAsia="zh"/>
              </w:rPr>
              <w:t>1</w:t>
            </w:r>
            <w:r>
              <w:rPr>
                <w:rFonts w:hint="eastAsia" w:ascii="宋体" w:hAnsi="宋体" w:eastAsia="宋体" w:cs="宋体"/>
                <w:bCs w:val="0"/>
                <w:color w:val="auto"/>
                <w:sz w:val="24"/>
                <w:szCs w:val="24"/>
                <w:highlight w:val="none"/>
                <w:lang w:val="en-US" w:eastAsia="zh-CN"/>
              </w:rPr>
              <w:t>-</w:t>
            </w:r>
            <w:r>
              <w:rPr>
                <w:rFonts w:hint="eastAsia" w:ascii="宋体" w:hAnsi="宋体" w:cs="宋体"/>
                <w:bCs w:val="0"/>
                <w:color w:val="auto"/>
                <w:sz w:val="24"/>
                <w:szCs w:val="24"/>
                <w:highlight w:val="none"/>
                <w:lang w:val="en-US" w:eastAsia="zh"/>
              </w:rPr>
              <w:t>15</w:t>
            </w:r>
            <w:r>
              <w:rPr>
                <w:rFonts w:hint="eastAsia" w:ascii="宋体" w:hAnsi="宋体" w:eastAsia="宋体" w:cs="宋体"/>
                <w:bCs w:val="0"/>
                <w:color w:val="auto"/>
                <w:sz w:val="24"/>
                <w:szCs w:val="24"/>
                <w:highlight w:val="none"/>
                <w:lang w:val="en-US" w:eastAsia="zh-CN"/>
              </w:rPr>
              <w:t xml:space="preserve">分）                           </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
              </w:rPr>
            </w:pPr>
            <w:r>
              <w:rPr>
                <w:rFonts w:hint="eastAsia" w:ascii="宋体" w:hAnsi="宋体" w:cs="宋体"/>
                <w:color w:val="auto"/>
                <w:sz w:val="24"/>
                <w:highlight w:val="none"/>
                <w:lang w:val="en-US" w:eastAsia="zh"/>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trPr>
        <w:tc>
          <w:tcPr>
            <w:tcW w:w="686"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20"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服务和进度计划</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服务和进度计划基本满足项目实施要求，</w:t>
            </w:r>
            <w:r>
              <w:rPr>
                <w:rFonts w:hint="eastAsia" w:ascii="宋体" w:hAnsi="宋体" w:cs="宋体"/>
                <w:color w:val="auto"/>
                <w:sz w:val="24"/>
                <w:highlight w:val="none"/>
                <w:lang w:val="en-US" w:eastAsia="zh"/>
              </w:rPr>
              <w:t>工期相对较长，</w:t>
            </w:r>
            <w:r>
              <w:rPr>
                <w:rFonts w:hint="eastAsia" w:ascii="宋体" w:hAnsi="宋体" w:eastAsia="宋体" w:cs="宋体"/>
                <w:color w:val="auto"/>
                <w:sz w:val="24"/>
                <w:highlight w:val="none"/>
                <w:lang w:val="en-US" w:eastAsia="zh-CN"/>
              </w:rPr>
              <w:t xml:space="preserve">控制措施不完善。           </w:t>
            </w:r>
            <w:r>
              <w:rPr>
                <w:rFonts w:hint="eastAsia" w:ascii="宋体" w:hAnsi="宋体" w:cs="宋体"/>
                <w:color w:val="auto"/>
                <w:sz w:val="24"/>
                <w:highlight w:val="none"/>
                <w:lang w:val="en-US" w:eastAsia="zh"/>
              </w:rPr>
              <w:t xml:space="preserve">     </w:t>
            </w:r>
            <w:r>
              <w:rPr>
                <w:rFonts w:hint="eastAsia" w:ascii="宋体" w:hAnsi="宋体" w:eastAsia="宋体" w:cs="宋体"/>
                <w:color w:val="auto"/>
                <w:sz w:val="24"/>
                <w:highlight w:val="none"/>
                <w:lang w:val="en-US" w:eastAsia="zh-CN"/>
              </w:rPr>
              <w:t xml:space="preserve">  （1-</w:t>
            </w:r>
            <w:r>
              <w:rPr>
                <w:rFonts w:hint="eastAsia" w:ascii="宋体" w:hAnsi="宋体" w:cs="宋体"/>
                <w:color w:val="auto"/>
                <w:sz w:val="24"/>
                <w:highlight w:val="none"/>
                <w:lang w:val="en-US" w:eastAsia="zh"/>
              </w:rPr>
              <w:t>8</w:t>
            </w:r>
            <w:r>
              <w:rPr>
                <w:rFonts w:hint="eastAsia" w:ascii="宋体" w:hAnsi="宋体" w:eastAsia="宋体" w:cs="宋体"/>
                <w:color w:val="auto"/>
                <w:sz w:val="24"/>
                <w:highlight w:val="none"/>
                <w:lang w:val="en-US" w:eastAsia="zh-CN"/>
              </w:rPr>
              <w:t>分）</w:t>
            </w:r>
          </w:p>
          <w:p>
            <w:pPr>
              <w:widowControl/>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服务和进度计划基本满足项目实施要求，</w:t>
            </w:r>
            <w:r>
              <w:rPr>
                <w:rFonts w:hint="eastAsia" w:ascii="宋体" w:hAnsi="宋体" w:cs="宋体"/>
                <w:color w:val="auto"/>
                <w:sz w:val="24"/>
                <w:highlight w:val="none"/>
                <w:lang w:val="en-US" w:eastAsia="zh"/>
              </w:rPr>
              <w:t>工期较合理，</w:t>
            </w:r>
            <w:r>
              <w:rPr>
                <w:rFonts w:hint="eastAsia" w:ascii="宋体" w:hAnsi="宋体" w:eastAsia="宋体" w:cs="宋体"/>
                <w:color w:val="auto"/>
                <w:sz w:val="24"/>
                <w:highlight w:val="none"/>
                <w:lang w:val="en-US" w:eastAsia="zh-CN"/>
              </w:rPr>
              <w:t>有较为完善的控制措施。               （</w:t>
            </w:r>
            <w:r>
              <w:rPr>
                <w:rFonts w:hint="eastAsia" w:ascii="宋体" w:hAnsi="宋体" w:cs="宋体"/>
                <w:color w:val="auto"/>
                <w:sz w:val="24"/>
                <w:highlight w:val="none"/>
                <w:lang w:val="en-US" w:eastAsia="zh"/>
              </w:rPr>
              <w:t>9</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en-US" w:eastAsia="zh"/>
              </w:rPr>
              <w:t>7</w:t>
            </w:r>
            <w:r>
              <w:rPr>
                <w:rFonts w:hint="eastAsia" w:ascii="宋体" w:hAnsi="宋体" w:eastAsia="宋体" w:cs="宋体"/>
                <w:color w:val="auto"/>
                <w:sz w:val="24"/>
                <w:highlight w:val="none"/>
                <w:lang w:val="en-US" w:eastAsia="zh-CN"/>
              </w:rPr>
              <w:t xml:space="preserve">分）                                    </w:t>
            </w:r>
          </w:p>
          <w:p>
            <w:pPr>
              <w:widowControl/>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服务和进度计划满足项目实施要求，</w:t>
            </w:r>
            <w:r>
              <w:rPr>
                <w:rFonts w:hint="eastAsia" w:ascii="宋体" w:hAnsi="宋体" w:cs="宋体"/>
                <w:color w:val="auto"/>
                <w:sz w:val="24"/>
                <w:highlight w:val="none"/>
                <w:lang w:val="en-US" w:eastAsia="zh"/>
              </w:rPr>
              <w:t>工期较短，</w:t>
            </w:r>
            <w:r>
              <w:rPr>
                <w:rFonts w:hint="eastAsia" w:ascii="宋体" w:hAnsi="宋体" w:eastAsia="宋体" w:cs="宋体"/>
                <w:color w:val="auto"/>
                <w:sz w:val="24"/>
                <w:highlight w:val="none"/>
                <w:lang w:val="en-US" w:eastAsia="zh-CN"/>
              </w:rPr>
              <w:t>有完善的控制措施，操作性强。               （</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en-US" w:eastAsia="zh"/>
              </w:rPr>
              <w:t>8</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eastAsia="zh"/>
              </w:rPr>
              <w:t>5</w:t>
            </w:r>
            <w:r>
              <w:rPr>
                <w:rFonts w:hint="eastAsia" w:ascii="宋体" w:hAnsi="宋体" w:eastAsia="宋体" w:cs="宋体"/>
                <w:color w:val="auto"/>
                <w:sz w:val="24"/>
                <w:highlight w:val="none"/>
                <w:lang w:val="en-US" w:eastAsia="zh-CN"/>
              </w:rPr>
              <w:t xml:space="preserve">分）                                      </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eastAsia="zh"/>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trPr>
        <w:tc>
          <w:tcPr>
            <w:tcW w:w="686"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220"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比选申请文件完整性及响应程度</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比选申请文件完整性及响应程度一般（1-4分）</w:t>
            </w:r>
          </w:p>
          <w:p>
            <w:pPr>
              <w:widowControl/>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比选申请文件完整性及响应程度良好（5-7分）；</w:t>
            </w:r>
          </w:p>
          <w:p>
            <w:pPr>
              <w:widowControl/>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比选申请文件完整及响应程度好（8-10分）；</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865" w:type="dxa"/>
            <w:gridSpan w:val="3"/>
            <w:tcBorders>
              <w:left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    计</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r>
    </w:tbl>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3.2报价评分（满分100分，权重0.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3.2.1确定评标价（以总价为评标标准）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评标价为经调整后的比选申请人比选报价。</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说明：（1）若因税金不一致，则在评标时修正到同一个标准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（2）评标价仅作为评审时将各比选申请人比选报价调整到同一水平，以便进行比较，中选后合同价仍然为比选申请人比选报价。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报价得分</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各投标人有效评标价的平均价</w:t>
      </w:r>
      <w:r>
        <w:rPr>
          <w:rFonts w:hint="eastAsia" w:ascii="宋体" w:hAnsi="宋体" w:eastAsia="宋体" w:cs="宋体"/>
          <w:color w:val="000000"/>
          <w:kern w:val="2"/>
          <w:sz w:val="24"/>
          <w:szCs w:val="24"/>
          <w:lang w:val="en-US" w:eastAsia="zh" w:bidi="ar"/>
        </w:rPr>
        <w:t>95%</w:t>
      </w:r>
      <w:r>
        <w:rPr>
          <w:rFonts w:hint="eastAsia" w:ascii="宋体" w:hAnsi="宋体" w:eastAsia="宋体" w:cs="宋体"/>
          <w:color w:val="000000"/>
          <w:kern w:val="2"/>
          <w:sz w:val="24"/>
          <w:szCs w:val="24"/>
          <w:lang w:val="en-US" w:eastAsia="zh-CN" w:bidi="ar"/>
        </w:rPr>
        <w:t>作为基准价。各投标人的评标价高于基准价，每高1%扣1分，扣完为止；各投标人的评标价低于基准价，每低1%扣0.5分，扣完为止。计算分值时保留小数点后二位。</w:t>
      </w:r>
    </w:p>
    <w:p>
      <w:pPr>
        <w:keepNext w:val="0"/>
        <w:keepLines w:val="0"/>
        <w:widowControl w:val="0"/>
        <w:suppressLineNumbers w:val="0"/>
        <w:spacing w:before="0" w:beforeAutospacing="0" w:after="0" w:afterAutospacing="0" w:line="360" w:lineRule="auto"/>
        <w:ind w:left="0" w:right="0"/>
        <w:jc w:val="left"/>
        <w:rPr>
          <w:rFonts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kern w:val="2"/>
          <w:sz w:val="24"/>
          <w:szCs w:val="24"/>
          <w:lang w:val="en-US" w:eastAsia="zh-CN" w:bidi="ar"/>
        </w:rPr>
        <w:t>报价得分＝100-[(评标价－基准价)/ 基准价×100]×1</w:t>
      </w:r>
      <w:r>
        <w:rPr>
          <w:rFonts w:hint="eastAsia" w:ascii="宋体" w:hAnsi="宋体" w:eastAsia="宋体" w:cs="宋体"/>
          <w:b/>
          <w:bCs/>
          <w:color w:val="000000"/>
          <w:kern w:val="2"/>
          <w:sz w:val="24"/>
          <w:szCs w:val="24"/>
        </w:rPr>
        <w:t>报价得分＝100-[(基准价－评标价)/ 基准价×100]×0.5</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综合评分</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满分为100分，其中技术评分权重为0.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0；报价权重为0.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比选单位综合得分=技术得分×0.</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+报价得分×0.</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综合排序的原则</w:t>
      </w:r>
    </w:p>
    <w:p>
      <w:pPr>
        <w:numPr>
          <w:ilvl w:val="0"/>
          <w:numId w:val="0"/>
        </w:numPr>
        <w:spacing w:line="360" w:lineRule="auto"/>
        <w:jc w:val="both"/>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评审小组根据综合得分情况</w:t>
      </w:r>
      <w:r>
        <w:rPr>
          <w:rFonts w:hint="eastAsia" w:ascii="宋体" w:hAnsi="宋体" w:cs="宋体"/>
          <w:bCs/>
          <w:color w:val="000000" w:themeColor="text1"/>
          <w:sz w:val="24"/>
          <w:highlight w:val="none"/>
          <w14:textFill>
            <w14:solidFill>
              <w14:schemeClr w14:val="tx1"/>
            </w14:solidFill>
          </w14:textFill>
        </w:rPr>
        <w:t>按得分高低进行推荐排序</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并推荐得分前二名的为第一、第二候选人。比选人与其中一名签订合同</w:t>
      </w:r>
    </w:p>
    <w:p>
      <w:pPr>
        <w:numPr>
          <w:ilvl w:val="0"/>
          <w:numId w:val="0"/>
        </w:numPr>
        <w:spacing w:line="360" w:lineRule="auto"/>
        <w:jc w:val="center"/>
        <w:rPr>
          <w:rFonts w:hint="eastAsia" w:ascii="宋体" w:hAnsi="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第五章 技术部分</w:t>
      </w:r>
    </w:p>
    <w:p>
      <w:pPr>
        <w:pStyle w:val="2"/>
        <w:numPr>
          <w:ilvl w:val="0"/>
          <w:numId w:val="0"/>
        </w:numPr>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详见技术规范书。</w:t>
      </w:r>
    </w:p>
    <w:p>
      <w:pPr>
        <w:rPr>
          <w:rFonts w:hint="eastAsia" w:ascii="宋体" w:hAnsi="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hint="eastAsia" w:hAnsi="宋体" w:eastAsia="等线"/>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sz w:val="21"/>
      </w:rPr>
      <w:t>北京京能热电股份有限公司2－4炉燃烧器改造工程项目</w:t>
    </w:r>
    <w:r>
      <w:rPr>
        <w:rFonts w:hint="eastAsia"/>
        <w:sz w:val="21"/>
        <w:lang w:eastAsia="zh-CN"/>
      </w:rPr>
      <w:t>比选</w:t>
    </w:r>
    <w:r>
      <w:rPr>
        <w:rFonts w:hint="eastAsia"/>
        <w:sz w:val="21"/>
      </w:rPr>
      <w:t>文件</w:t>
    </w:r>
    <w:r>
      <w:rPr>
        <w:rFonts w:hint="eastAsia"/>
        <w:sz w:val="24"/>
      </w:rPr>
      <w:t xml:space="preserve">           第三卷技术部分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CC256"/>
    <w:multiLevelType w:val="singleLevel"/>
    <w:tmpl w:val="1E1CC256"/>
    <w:lvl w:ilvl="0" w:tentative="0">
      <w:start w:val="2"/>
      <w:numFmt w:val="decimal"/>
      <w:suff w:val="nothing"/>
      <w:lvlText w:val="%1、"/>
      <w:lvlJc w:val="left"/>
    </w:lvl>
  </w:abstractNum>
  <w:abstractNum w:abstractNumId="1">
    <w:nsid w:val="36CA81E6"/>
    <w:multiLevelType w:val="multilevel"/>
    <w:tmpl w:val="36CA81E6"/>
    <w:lvl w:ilvl="0" w:tentative="0">
      <w:start w:val="1"/>
      <w:numFmt w:val="decimal"/>
      <w:suff w:val="nothing"/>
      <w:lvlText w:val="%1."/>
      <w:lvlJc w:val="left"/>
      <w:pPr>
        <w:tabs>
          <w:tab w:val="left" w:pos="0"/>
        </w:tabs>
        <w:ind w:left="432" w:hanging="432"/>
      </w:pPr>
      <w:rPr>
        <w:rFonts w:hint="default"/>
      </w:rPr>
    </w:lvl>
    <w:lvl w:ilvl="1" w:tentative="0">
      <w:start w:val="1"/>
      <w:numFmt w:val="decimal"/>
      <w:suff w:val="nothing"/>
      <w:lvlText w:val="%1.%2."/>
      <w:lvlJc w:val="left"/>
      <w:pPr>
        <w:tabs>
          <w:tab w:val="left" w:pos="0"/>
        </w:tabs>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4D71C72B"/>
    <w:multiLevelType w:val="singleLevel"/>
    <w:tmpl w:val="4D71C72B"/>
    <w:lvl w:ilvl="0" w:tentative="0">
      <w:start w:val="1"/>
      <w:numFmt w:val="lowerLetter"/>
      <w:lvlText w:val="%1."/>
      <w:lvlJc w:val="left"/>
      <w:pPr>
        <w:tabs>
          <w:tab w:val="left" w:pos="312"/>
        </w:tabs>
      </w:pPr>
    </w:lvl>
  </w:abstractNum>
  <w:abstractNum w:abstractNumId="3">
    <w:nsid w:val="72143FCC"/>
    <w:multiLevelType w:val="singleLevel"/>
    <w:tmpl w:val="72143FCC"/>
    <w:lvl w:ilvl="0" w:tentative="0">
      <w:start w:val="4"/>
      <w:numFmt w:val="chineseCounting"/>
      <w:suff w:val="space"/>
      <w:lvlText w:val="第%1章"/>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TExOTYyMGU5MGE5ODg0NzkxMmFiOWU1MzJlOWEifQ=="/>
  </w:docVars>
  <w:rsids>
    <w:rsidRoot w:val="001F2B0A"/>
    <w:rsid w:val="001F2B0A"/>
    <w:rsid w:val="003C0C0E"/>
    <w:rsid w:val="004637C6"/>
    <w:rsid w:val="00497E22"/>
    <w:rsid w:val="00566232"/>
    <w:rsid w:val="00AD61B3"/>
    <w:rsid w:val="00D72DC5"/>
    <w:rsid w:val="00FB477A"/>
    <w:rsid w:val="014B1EB7"/>
    <w:rsid w:val="015D7E49"/>
    <w:rsid w:val="01F06157"/>
    <w:rsid w:val="01FF1B6C"/>
    <w:rsid w:val="022A4BD8"/>
    <w:rsid w:val="02C90F9C"/>
    <w:rsid w:val="02D91D75"/>
    <w:rsid w:val="02EA3616"/>
    <w:rsid w:val="033F75C8"/>
    <w:rsid w:val="03B516E9"/>
    <w:rsid w:val="041963BB"/>
    <w:rsid w:val="04635D80"/>
    <w:rsid w:val="04AB6121"/>
    <w:rsid w:val="04AB689E"/>
    <w:rsid w:val="0505449E"/>
    <w:rsid w:val="050B7141"/>
    <w:rsid w:val="06E415DA"/>
    <w:rsid w:val="07386071"/>
    <w:rsid w:val="0761059E"/>
    <w:rsid w:val="077A0069"/>
    <w:rsid w:val="077B0600"/>
    <w:rsid w:val="081D051E"/>
    <w:rsid w:val="083779B4"/>
    <w:rsid w:val="095F30A0"/>
    <w:rsid w:val="0A3A1D48"/>
    <w:rsid w:val="0ADE1C05"/>
    <w:rsid w:val="0B1B5DB7"/>
    <w:rsid w:val="0B4242FC"/>
    <w:rsid w:val="0BF35C26"/>
    <w:rsid w:val="0C246BA4"/>
    <w:rsid w:val="0C4546C7"/>
    <w:rsid w:val="0C6F547D"/>
    <w:rsid w:val="0C953285"/>
    <w:rsid w:val="0CF47C3F"/>
    <w:rsid w:val="0D2D4871"/>
    <w:rsid w:val="0D8729DE"/>
    <w:rsid w:val="0DC15507"/>
    <w:rsid w:val="0DF20088"/>
    <w:rsid w:val="0F1A7AF2"/>
    <w:rsid w:val="0F380653"/>
    <w:rsid w:val="0F6C5013"/>
    <w:rsid w:val="109C14DF"/>
    <w:rsid w:val="10BE3DC9"/>
    <w:rsid w:val="10C43857"/>
    <w:rsid w:val="116268AD"/>
    <w:rsid w:val="11CB1D14"/>
    <w:rsid w:val="120C234B"/>
    <w:rsid w:val="120E1C01"/>
    <w:rsid w:val="121635EA"/>
    <w:rsid w:val="12231A96"/>
    <w:rsid w:val="126A7388"/>
    <w:rsid w:val="12C16198"/>
    <w:rsid w:val="12CE23A9"/>
    <w:rsid w:val="130A0782"/>
    <w:rsid w:val="13170100"/>
    <w:rsid w:val="13C5156A"/>
    <w:rsid w:val="14253035"/>
    <w:rsid w:val="142F2164"/>
    <w:rsid w:val="1467219E"/>
    <w:rsid w:val="14AF76CB"/>
    <w:rsid w:val="15BB33F7"/>
    <w:rsid w:val="15F35FAB"/>
    <w:rsid w:val="16681976"/>
    <w:rsid w:val="16B2643E"/>
    <w:rsid w:val="16B80B59"/>
    <w:rsid w:val="16C94175"/>
    <w:rsid w:val="175D781D"/>
    <w:rsid w:val="180375AE"/>
    <w:rsid w:val="18870A0E"/>
    <w:rsid w:val="18B0174C"/>
    <w:rsid w:val="19137AFC"/>
    <w:rsid w:val="192B47CE"/>
    <w:rsid w:val="19570848"/>
    <w:rsid w:val="19BE081C"/>
    <w:rsid w:val="19C76B9B"/>
    <w:rsid w:val="1A561D65"/>
    <w:rsid w:val="1AC06D31"/>
    <w:rsid w:val="1AD725F9"/>
    <w:rsid w:val="1B5C49BB"/>
    <w:rsid w:val="1C0F2F48"/>
    <w:rsid w:val="1C72789B"/>
    <w:rsid w:val="1CC40A00"/>
    <w:rsid w:val="1D251111"/>
    <w:rsid w:val="1D83299A"/>
    <w:rsid w:val="1DA614B8"/>
    <w:rsid w:val="1E3F0843"/>
    <w:rsid w:val="1E44441B"/>
    <w:rsid w:val="1F724A69"/>
    <w:rsid w:val="1F7A5D97"/>
    <w:rsid w:val="203536E8"/>
    <w:rsid w:val="2088137E"/>
    <w:rsid w:val="20902DF0"/>
    <w:rsid w:val="20D6349C"/>
    <w:rsid w:val="20F0354E"/>
    <w:rsid w:val="212A5BF7"/>
    <w:rsid w:val="215154B4"/>
    <w:rsid w:val="220D77DF"/>
    <w:rsid w:val="221E6FE9"/>
    <w:rsid w:val="22282915"/>
    <w:rsid w:val="229022CB"/>
    <w:rsid w:val="22D05E3C"/>
    <w:rsid w:val="238605F7"/>
    <w:rsid w:val="23B56D6C"/>
    <w:rsid w:val="23BA7E6F"/>
    <w:rsid w:val="242155A2"/>
    <w:rsid w:val="247E0A7C"/>
    <w:rsid w:val="24867F65"/>
    <w:rsid w:val="251875F3"/>
    <w:rsid w:val="2543664F"/>
    <w:rsid w:val="2553005E"/>
    <w:rsid w:val="25E71058"/>
    <w:rsid w:val="26423376"/>
    <w:rsid w:val="284C223F"/>
    <w:rsid w:val="28927BAA"/>
    <w:rsid w:val="28A47815"/>
    <w:rsid w:val="29894653"/>
    <w:rsid w:val="2A027529"/>
    <w:rsid w:val="2A155E1E"/>
    <w:rsid w:val="2AE3617E"/>
    <w:rsid w:val="2B0D0850"/>
    <w:rsid w:val="2B8562AF"/>
    <w:rsid w:val="2BF10728"/>
    <w:rsid w:val="2C8632D7"/>
    <w:rsid w:val="2CC342FD"/>
    <w:rsid w:val="2D2C4B5F"/>
    <w:rsid w:val="2D690265"/>
    <w:rsid w:val="2EFC3072"/>
    <w:rsid w:val="2F0D6671"/>
    <w:rsid w:val="2F9B0424"/>
    <w:rsid w:val="30DE02F2"/>
    <w:rsid w:val="314D0E82"/>
    <w:rsid w:val="319566E7"/>
    <w:rsid w:val="327C2DC4"/>
    <w:rsid w:val="32C77C56"/>
    <w:rsid w:val="33C17F75"/>
    <w:rsid w:val="341E7DDB"/>
    <w:rsid w:val="343F655E"/>
    <w:rsid w:val="34887DF7"/>
    <w:rsid w:val="353A6336"/>
    <w:rsid w:val="354253EA"/>
    <w:rsid w:val="35681B1F"/>
    <w:rsid w:val="36111E42"/>
    <w:rsid w:val="36432BB5"/>
    <w:rsid w:val="36CC48AD"/>
    <w:rsid w:val="37C13DA0"/>
    <w:rsid w:val="38C21505"/>
    <w:rsid w:val="39027F13"/>
    <w:rsid w:val="390C1966"/>
    <w:rsid w:val="39435DFC"/>
    <w:rsid w:val="399F3ADA"/>
    <w:rsid w:val="39FD20B6"/>
    <w:rsid w:val="3A23519F"/>
    <w:rsid w:val="3A3C318D"/>
    <w:rsid w:val="3A436EF3"/>
    <w:rsid w:val="3A545BA4"/>
    <w:rsid w:val="3AD96731"/>
    <w:rsid w:val="3B4F356C"/>
    <w:rsid w:val="3B983454"/>
    <w:rsid w:val="3BAF0A7B"/>
    <w:rsid w:val="3C3561CE"/>
    <w:rsid w:val="3D6F5C89"/>
    <w:rsid w:val="3E0B5F15"/>
    <w:rsid w:val="3E3651F2"/>
    <w:rsid w:val="3E720C9E"/>
    <w:rsid w:val="3EB811B3"/>
    <w:rsid w:val="3EBF2718"/>
    <w:rsid w:val="3EC95F9F"/>
    <w:rsid w:val="3EFB134D"/>
    <w:rsid w:val="3F1F0CCB"/>
    <w:rsid w:val="3F344FBF"/>
    <w:rsid w:val="3FD4F8EF"/>
    <w:rsid w:val="400E5068"/>
    <w:rsid w:val="40D46705"/>
    <w:rsid w:val="41172EE4"/>
    <w:rsid w:val="4219017E"/>
    <w:rsid w:val="4271604A"/>
    <w:rsid w:val="42D56E71"/>
    <w:rsid w:val="42FB3958"/>
    <w:rsid w:val="431945BC"/>
    <w:rsid w:val="431B6ADF"/>
    <w:rsid w:val="43543D49"/>
    <w:rsid w:val="444728A5"/>
    <w:rsid w:val="44BD7B66"/>
    <w:rsid w:val="44C862DD"/>
    <w:rsid w:val="45BB4787"/>
    <w:rsid w:val="45F40E36"/>
    <w:rsid w:val="47197328"/>
    <w:rsid w:val="47504CD6"/>
    <w:rsid w:val="475C02CA"/>
    <w:rsid w:val="476A487A"/>
    <w:rsid w:val="47D0101C"/>
    <w:rsid w:val="48476601"/>
    <w:rsid w:val="485E4116"/>
    <w:rsid w:val="48686309"/>
    <w:rsid w:val="488B3C34"/>
    <w:rsid w:val="48AE5045"/>
    <w:rsid w:val="48E53BB1"/>
    <w:rsid w:val="49507E2D"/>
    <w:rsid w:val="49DC62C7"/>
    <w:rsid w:val="49E55E44"/>
    <w:rsid w:val="4A6F78BD"/>
    <w:rsid w:val="4BE34F89"/>
    <w:rsid w:val="4C067D9B"/>
    <w:rsid w:val="4C7260A7"/>
    <w:rsid w:val="4D8E112D"/>
    <w:rsid w:val="4E0572B3"/>
    <w:rsid w:val="4E6303CE"/>
    <w:rsid w:val="4EB55783"/>
    <w:rsid w:val="4ECC6F0A"/>
    <w:rsid w:val="4F0F0EDE"/>
    <w:rsid w:val="4F0F537E"/>
    <w:rsid w:val="4FAC29C1"/>
    <w:rsid w:val="50D01E65"/>
    <w:rsid w:val="50E03FEB"/>
    <w:rsid w:val="516A6EFC"/>
    <w:rsid w:val="51C60175"/>
    <w:rsid w:val="529D0A4B"/>
    <w:rsid w:val="5415574F"/>
    <w:rsid w:val="5421245A"/>
    <w:rsid w:val="545676C7"/>
    <w:rsid w:val="550F0DC7"/>
    <w:rsid w:val="55734310"/>
    <w:rsid w:val="55C816BC"/>
    <w:rsid w:val="55FB64F0"/>
    <w:rsid w:val="56423B2E"/>
    <w:rsid w:val="565D24B7"/>
    <w:rsid w:val="568455BA"/>
    <w:rsid w:val="56D1092C"/>
    <w:rsid w:val="56F365F2"/>
    <w:rsid w:val="57DB0AC1"/>
    <w:rsid w:val="584B4EDB"/>
    <w:rsid w:val="5876106B"/>
    <w:rsid w:val="58CF584D"/>
    <w:rsid w:val="58F87C9B"/>
    <w:rsid w:val="590901C7"/>
    <w:rsid w:val="59224035"/>
    <w:rsid w:val="594A6722"/>
    <w:rsid w:val="5A7D6262"/>
    <w:rsid w:val="5AD06F94"/>
    <w:rsid w:val="5AFE6139"/>
    <w:rsid w:val="5B092532"/>
    <w:rsid w:val="5B9709D6"/>
    <w:rsid w:val="5C1B1CCB"/>
    <w:rsid w:val="5C1B1DC2"/>
    <w:rsid w:val="5C2D4BA0"/>
    <w:rsid w:val="5D105E2E"/>
    <w:rsid w:val="5D2A4E02"/>
    <w:rsid w:val="5DB62526"/>
    <w:rsid w:val="5E263A88"/>
    <w:rsid w:val="5E377183"/>
    <w:rsid w:val="5E3D73F3"/>
    <w:rsid w:val="5EA02456"/>
    <w:rsid w:val="5FE75EF7"/>
    <w:rsid w:val="5FE944CE"/>
    <w:rsid w:val="60511079"/>
    <w:rsid w:val="607B055F"/>
    <w:rsid w:val="60C16A9C"/>
    <w:rsid w:val="615D2AD1"/>
    <w:rsid w:val="61834ACB"/>
    <w:rsid w:val="61FA48B8"/>
    <w:rsid w:val="620B468C"/>
    <w:rsid w:val="627548C7"/>
    <w:rsid w:val="62B712F8"/>
    <w:rsid w:val="62D15553"/>
    <w:rsid w:val="63427B3A"/>
    <w:rsid w:val="635B2563"/>
    <w:rsid w:val="63F84CAA"/>
    <w:rsid w:val="64015676"/>
    <w:rsid w:val="64316E7B"/>
    <w:rsid w:val="648A157E"/>
    <w:rsid w:val="64931A11"/>
    <w:rsid w:val="64E73FFF"/>
    <w:rsid w:val="64F93037"/>
    <w:rsid w:val="654319B2"/>
    <w:rsid w:val="658D1BE1"/>
    <w:rsid w:val="66F6657C"/>
    <w:rsid w:val="67084D16"/>
    <w:rsid w:val="6710392B"/>
    <w:rsid w:val="67502979"/>
    <w:rsid w:val="67FF38C9"/>
    <w:rsid w:val="681F299B"/>
    <w:rsid w:val="68A32539"/>
    <w:rsid w:val="68F32616"/>
    <w:rsid w:val="69591C34"/>
    <w:rsid w:val="69644B76"/>
    <w:rsid w:val="69860079"/>
    <w:rsid w:val="69DF37C5"/>
    <w:rsid w:val="69FD38F9"/>
    <w:rsid w:val="6A0B653E"/>
    <w:rsid w:val="6A252B92"/>
    <w:rsid w:val="6C154D81"/>
    <w:rsid w:val="6C6F10F7"/>
    <w:rsid w:val="6D7C78B7"/>
    <w:rsid w:val="6D7F36B1"/>
    <w:rsid w:val="6E6E5930"/>
    <w:rsid w:val="6EAC7ED8"/>
    <w:rsid w:val="6F40049E"/>
    <w:rsid w:val="6FA87362"/>
    <w:rsid w:val="6FE37D5D"/>
    <w:rsid w:val="6FE70627"/>
    <w:rsid w:val="70927102"/>
    <w:rsid w:val="70DD2FF7"/>
    <w:rsid w:val="70F95FBD"/>
    <w:rsid w:val="71121C24"/>
    <w:rsid w:val="71B92CFB"/>
    <w:rsid w:val="71DA05A0"/>
    <w:rsid w:val="725515F5"/>
    <w:rsid w:val="73926496"/>
    <w:rsid w:val="747A16BF"/>
    <w:rsid w:val="751135E4"/>
    <w:rsid w:val="7519039B"/>
    <w:rsid w:val="758E35BD"/>
    <w:rsid w:val="769A58E3"/>
    <w:rsid w:val="769E4BE7"/>
    <w:rsid w:val="7795672F"/>
    <w:rsid w:val="77A33237"/>
    <w:rsid w:val="780E04D4"/>
    <w:rsid w:val="78304EDE"/>
    <w:rsid w:val="788318F6"/>
    <w:rsid w:val="78D323C4"/>
    <w:rsid w:val="78FE5584"/>
    <w:rsid w:val="7A23637B"/>
    <w:rsid w:val="7A6164AB"/>
    <w:rsid w:val="7B391059"/>
    <w:rsid w:val="7B530539"/>
    <w:rsid w:val="7B574B36"/>
    <w:rsid w:val="7BA9375B"/>
    <w:rsid w:val="7BD948AD"/>
    <w:rsid w:val="7BEA3E4C"/>
    <w:rsid w:val="7C836F93"/>
    <w:rsid w:val="7CC860B2"/>
    <w:rsid w:val="7D3038CF"/>
    <w:rsid w:val="7D6C2781"/>
    <w:rsid w:val="7DDE038D"/>
    <w:rsid w:val="7E044AA8"/>
    <w:rsid w:val="7E0809CA"/>
    <w:rsid w:val="7F9D2EA8"/>
    <w:rsid w:val="7FA42DDC"/>
    <w:rsid w:val="EF9CDEA8"/>
    <w:rsid w:val="FBFB5576"/>
    <w:rsid w:val="FE3425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widowControl w:val="0"/>
      <w:numPr>
        <w:ilvl w:val="2"/>
        <w:numId w:val="1"/>
      </w:numPr>
      <w:tabs>
        <w:tab w:val="left" w:pos="680"/>
        <w:tab w:val="left" w:pos="907"/>
        <w:tab w:val="left" w:pos="1134"/>
        <w:tab w:val="left" w:pos="1361"/>
        <w:tab w:val="right" w:pos="6804"/>
        <w:tab w:val="left" w:pos="7088"/>
      </w:tabs>
      <w:adjustRightInd w:val="0"/>
      <w:spacing w:before="120" w:line="360" w:lineRule="atLeast"/>
      <w:ind w:left="720" w:hanging="720"/>
      <w:jc w:val="left"/>
      <w:textAlignment w:val="baseline"/>
      <w:outlineLvl w:val="2"/>
    </w:pPr>
    <w:rPr>
      <w:rFonts w:ascii="Arial" w:hAnsi="Arial" w:eastAsia="宋体" w:cs="Times New Roman"/>
      <w:b/>
      <w:kern w:val="0"/>
      <w:sz w:val="24"/>
      <w:szCs w:val="20"/>
      <w:lang w:val="en-US" w:eastAsia="zh-CN" w:bidi="ar-SA"/>
    </w:rPr>
  </w:style>
  <w:style w:type="paragraph" w:styleId="6">
    <w:name w:val="heading 4"/>
    <w:basedOn w:val="1"/>
    <w:next w:val="1"/>
    <w:qFormat/>
    <w:uiPriority w:val="0"/>
    <w:pPr>
      <w:snapToGrid w:val="0"/>
      <w:spacing w:line="440" w:lineRule="atLeast"/>
      <w:outlineLvl w:val="3"/>
    </w:pPr>
    <w:rPr>
      <w:bCs/>
      <w:kern w:val="0"/>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21"/>
    </w:r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spacing w:line="360" w:lineRule="auto"/>
      <w:ind w:firstLine="420"/>
    </w:pPr>
    <w:rPr>
      <w:rFonts w:ascii="宋体"/>
      <w:sz w:val="24"/>
      <w:szCs w:val="20"/>
    </w:rPr>
  </w:style>
  <w:style w:type="paragraph" w:styleId="9">
    <w:name w:val="annotation text"/>
    <w:basedOn w:val="1"/>
    <w:semiHidden/>
    <w:qFormat/>
    <w:uiPriority w:val="0"/>
    <w:pPr>
      <w:spacing w:line="360" w:lineRule="auto"/>
      <w:ind w:left="851"/>
      <w:jc w:val="left"/>
    </w:pPr>
    <w:rPr>
      <w:sz w:val="24"/>
      <w:szCs w:val="20"/>
    </w:rPr>
  </w:style>
  <w:style w:type="paragraph" w:styleId="10">
    <w:name w:val="Body Text Indent"/>
    <w:basedOn w:val="1"/>
    <w:qFormat/>
    <w:uiPriority w:val="0"/>
    <w:pPr>
      <w:adjustRightInd w:val="0"/>
      <w:spacing w:before="240" w:beforeLines="0" w:beforeAutospacing="0" w:line="360" w:lineRule="auto"/>
      <w:ind w:firstLine="578"/>
      <w:textAlignment w:val="baseline"/>
    </w:pPr>
    <w:rPr>
      <w:rFonts w:hAnsi="Century Gothic"/>
    </w:rPr>
  </w:style>
  <w:style w:type="paragraph" w:styleId="11">
    <w:name w:val="Block Text"/>
    <w:basedOn w:val="1"/>
    <w:qFormat/>
    <w:uiPriority w:val="0"/>
    <w:pPr>
      <w:spacing w:before="120" w:after="120" w:line="360" w:lineRule="auto"/>
      <w:ind w:left="630" w:right="202"/>
    </w:pPr>
    <w:rPr>
      <w:rFonts w:ascii="宋体"/>
      <w:sz w:val="24"/>
      <w:szCs w:val="20"/>
    </w:rPr>
  </w:style>
  <w:style w:type="paragraph" w:styleId="12">
    <w:name w:val="Plain Text"/>
    <w:basedOn w:val="1"/>
    <w:qFormat/>
    <w:uiPriority w:val="0"/>
    <w:rPr>
      <w:rFonts w:ascii="Courier New" w:hAnsi="Courier New"/>
      <w:szCs w:val="20"/>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caps/>
      <w:sz w:val="20"/>
      <w:szCs w:val="20"/>
    </w:rPr>
  </w:style>
  <w:style w:type="paragraph" w:styleId="17">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qFormat/>
    <w:uiPriority w:val="99"/>
    <w:pPr>
      <w:ind w:firstLine="420" w:firstLineChars="100"/>
    </w:pPr>
    <w:rPr>
      <w:rFonts w:ascii="Times New Roman" w:hAnsi="Times New Roman" w:cs="Times New Roman"/>
      <w:szCs w:val="20"/>
    </w:rPr>
  </w:style>
  <w:style w:type="paragraph" w:styleId="20">
    <w:name w:val="Body Text First Indent 2"/>
    <w:basedOn w:val="10"/>
    <w:next w:val="7"/>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段落正文"/>
    <w:basedOn w:val="1"/>
    <w:qFormat/>
    <w:uiPriority w:val="0"/>
    <w:pPr>
      <w:spacing w:line="360" w:lineRule="auto"/>
      <w:ind w:firstLine="480" w:firstLineChars="200"/>
    </w:pPr>
    <w:rPr>
      <w:rFonts w:ascii="微软雅黑" w:hAnsi="微软雅黑"/>
      <w:kern w:val="0"/>
      <w:sz w:val="24"/>
      <w:szCs w:val="20"/>
    </w:rPr>
  </w:style>
  <w:style w:type="paragraph" w:customStyle="1" w:styleId="26">
    <w:name w:val="_Style 3"/>
    <w:basedOn w:val="1"/>
    <w:next w:val="1"/>
    <w:qFormat/>
    <w:uiPriority w:val="99"/>
    <w:pPr>
      <w:spacing w:line="360" w:lineRule="auto"/>
      <w:ind w:firstLine="420" w:firstLineChars="200"/>
    </w:pPr>
    <w:rPr>
      <w:sz w:val="24"/>
      <w:szCs w:val="24"/>
    </w:rPr>
  </w:style>
  <w:style w:type="paragraph" w:customStyle="1" w:styleId="27">
    <w:name w:val="样式2"/>
    <w:basedOn w:val="1"/>
    <w:qFormat/>
    <w:uiPriority w:val="0"/>
    <w:pPr>
      <w:adjustRightInd w:val="0"/>
      <w:spacing w:line="410" w:lineRule="atLeast"/>
      <w:jc w:val="left"/>
    </w:pPr>
    <w:rPr>
      <w:kern w:val="0"/>
      <w:sz w:val="24"/>
      <w:szCs w:val="20"/>
    </w:rPr>
  </w:style>
  <w:style w:type="paragraph" w:customStyle="1" w:styleId="28">
    <w:name w:val="样式1"/>
    <w:basedOn w:val="1"/>
    <w:qFormat/>
    <w:uiPriority w:val="0"/>
    <w:pPr>
      <w:adjustRightInd w:val="0"/>
      <w:spacing w:line="420" w:lineRule="auto"/>
      <w:jc w:val="center"/>
    </w:pPr>
    <w:rPr>
      <w:rFonts w:ascii="宋体"/>
      <w:kern w:val="0"/>
      <w:sz w:val="24"/>
      <w:szCs w:val="20"/>
    </w:rPr>
  </w:style>
  <w:style w:type="paragraph" w:customStyle="1" w:styleId="29">
    <w:name w:val="正文2"/>
    <w:basedOn w:val="1"/>
    <w:next w:val="1"/>
    <w:qFormat/>
    <w:uiPriority w:val="0"/>
  </w:style>
  <w:style w:type="paragraph" w:customStyle="1" w:styleId="30">
    <w:name w:val="Plain Text"/>
    <w:qFormat/>
    <w:uiPriority w:val="0"/>
    <w:pPr>
      <w:widowControl w:val="0"/>
      <w:jc w:val="both"/>
    </w:pPr>
    <w:rPr>
      <w:rFonts w:ascii="宋体" w:hAnsi="Courier New" w:eastAsia="宋体" w:cs="Times New Roman"/>
      <w:kern w:val="2"/>
      <w:sz w:val="21"/>
      <w:lang w:val="en-US" w:eastAsia="zh-CN" w:bidi="ar-SA"/>
    </w:rPr>
  </w:style>
  <w:style w:type="paragraph" w:customStyle="1" w:styleId="31">
    <w:name w:val="正文+缩进2字符"/>
    <w:basedOn w:val="1"/>
    <w:qFormat/>
    <w:uiPriority w:val="0"/>
    <w:pPr>
      <w:spacing w:line="360" w:lineRule="auto"/>
      <w:ind w:firstLine="200" w:firstLineChars="200"/>
    </w:pPr>
    <w:rPr>
      <w:kern w:val="0"/>
      <w:sz w:val="28"/>
    </w:rPr>
  </w:style>
  <w:style w:type="paragraph" w:customStyle="1" w:styleId="32">
    <w:name w:val="表内左两列正文"/>
    <w:basedOn w:val="33"/>
    <w:qFormat/>
    <w:uiPriority w:val="0"/>
    <w:pPr>
      <w:spacing w:line="320" w:lineRule="exact"/>
      <w:jc w:val="center"/>
    </w:pPr>
    <w:rPr>
      <w:w w:val="99"/>
    </w:rPr>
  </w:style>
  <w:style w:type="paragraph" w:customStyle="1" w:styleId="33">
    <w:name w:val="表内正文"/>
    <w:basedOn w:val="1"/>
    <w:qFormat/>
    <w:uiPriority w:val="0"/>
    <w:pPr>
      <w:widowControl/>
      <w:spacing w:line="320" w:lineRule="atLeast"/>
      <w:jc w:val="left"/>
    </w:pPr>
    <w:rPr>
      <w:rFonts w:ascii="宋体" w:hAnsi="宋体" w:eastAsia="宋体" w:cs="Times New Roman"/>
      <w:spacing w:val="2"/>
      <w:kern w:val="0"/>
      <w:szCs w:val="21"/>
      <w:lang w:eastAsia="en-US" w:bidi="en-US"/>
    </w:rPr>
  </w:style>
  <w:style w:type="paragraph" w:customStyle="1" w:styleId="34">
    <w:name w:val="Normal_0"/>
    <w:qFormat/>
    <w:uiPriority w:val="1"/>
    <w:rPr>
      <w:rFonts w:ascii="Arial" w:hAnsi="Arial" w:eastAsia="微软雅黑" w:cs="Times New Roman"/>
      <w:kern w:val="0"/>
      <w:sz w:val="20"/>
      <w:szCs w:val="20"/>
      <w:lang w:val="en-US" w:eastAsia="en-US" w:bidi="ar-SA"/>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customStyle="1" w:styleId="36">
    <w:name w:val="p0"/>
    <w:basedOn w:val="1"/>
    <w:qFormat/>
    <w:uiPriority w:val="0"/>
    <w:pPr>
      <w:widowControl/>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4029</Words>
  <Characters>4294</Characters>
  <Lines>1</Lines>
  <Paragraphs>1</Paragraphs>
  <TotalTime>8</TotalTime>
  <ScaleCrop>false</ScaleCrop>
  <LinksUpToDate>false</LinksUpToDate>
  <CharactersWithSpaces>4951</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2022-03-09T15:11:00Z</dcterms:created>
  <dc:creator>Administrator</dc:creator>
  <cp:lastModifiedBy>彭宏</cp:lastModifiedBy>
  <dcterms:modified xsi:type="dcterms:W3CDTF">2025-02-18T01:31:25Z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30F8673CD087F8F620B8AD67CDD90315_43</vt:lpwstr>
  </property>
</Properties>
</file>